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209D" w14:textId="77777777" w:rsidR="001E3149" w:rsidRPr="00752CFE" w:rsidRDefault="001E3149" w:rsidP="00752CFE">
      <w:pPr>
        <w:spacing w:line="276" w:lineRule="auto"/>
        <w:jc w:val="both"/>
        <w:rPr>
          <w:rFonts w:ascii="Century Schoolbook" w:hAnsi="Century Schoolbook" w:cs="Times New Roman"/>
          <w:b/>
          <w:bCs/>
          <w:lang w:val="sv-SE"/>
        </w:rPr>
      </w:pPr>
      <w:r w:rsidRPr="00752CFE">
        <w:rPr>
          <w:rFonts w:ascii="Century Schoolbook" w:hAnsi="Century Schoolbook" w:cs="Times New Roman"/>
          <w:b/>
          <w:bCs/>
          <w:sz w:val="32"/>
          <w:szCs w:val="32"/>
          <w:lang w:val="sv-SE"/>
        </w:rPr>
        <w:t>Integrasi Keuangan Modern dan Kecerdasan Buatan untuk Analisis Investasi dan Risiko Saham PT United Tractors tbk (UNTR)</w:t>
      </w:r>
    </w:p>
    <w:p w14:paraId="6E98E5AC" w14:textId="77777777" w:rsidR="00F870A4" w:rsidRPr="0048798C" w:rsidRDefault="00F870A4" w:rsidP="00752CFE">
      <w:pPr>
        <w:spacing w:line="276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18"/>
          <w:szCs w:val="18"/>
        </w:rPr>
      </w:pPr>
    </w:p>
    <w:p w14:paraId="7AAFF1FD" w14:textId="75045578" w:rsidR="00F870A4" w:rsidRPr="008E3B27" w:rsidRDefault="001E3149" w:rsidP="0048798C">
      <w:pPr>
        <w:spacing w:after="60" w:line="276" w:lineRule="auto"/>
        <w:jc w:val="both"/>
        <w:rPr>
          <w:rFonts w:ascii="Century Schoolbook" w:hAnsi="Century Schoolbook"/>
          <w:vertAlign w:val="superscript"/>
        </w:rPr>
      </w:pPr>
      <w:r w:rsidRPr="008E3B27">
        <w:rPr>
          <w:rFonts w:ascii="Century Schoolbook" w:hAnsi="Century Schoolbook" w:cs="Times New Roman"/>
          <w:b/>
          <w:sz w:val="28"/>
          <w:szCs w:val="28"/>
          <w:lang w:val="sv-SE"/>
        </w:rPr>
        <w:t>Bungaria Tampubolon</w:t>
      </w:r>
      <w:r w:rsidRPr="008E3B27">
        <w:rPr>
          <w:rFonts w:ascii="Century Schoolbook" w:eastAsia="Century Schoolbook" w:hAnsi="Century Schoolbook" w:cs="Century Schoolbook"/>
          <w:b/>
          <w:color w:val="000000"/>
          <w:sz w:val="28"/>
          <w:szCs w:val="28"/>
        </w:rPr>
        <w:t xml:space="preserve">, </w:t>
      </w:r>
      <w:r w:rsidRPr="008E3B27">
        <w:rPr>
          <w:rFonts w:ascii="Century Schoolbook" w:hAnsi="Century Schoolbook" w:cs="Times New Roman"/>
          <w:b/>
          <w:sz w:val="28"/>
          <w:szCs w:val="28"/>
          <w:lang w:val="sv-SE"/>
        </w:rPr>
        <w:t>Nurfitri Humayro Daula</w:t>
      </w:r>
      <w:r w:rsidRPr="008E3B27">
        <w:rPr>
          <w:rFonts w:ascii="Century Schoolbook" w:hAnsi="Century Schoolbook" w:cs="Times New Roman"/>
          <w:b/>
          <w:sz w:val="28"/>
          <w:szCs w:val="28"/>
          <w:lang w:val="id-ID"/>
        </w:rPr>
        <w:t>y</w:t>
      </w:r>
      <w:r w:rsidR="005F0013" w:rsidRPr="008E3B27">
        <w:rPr>
          <w:rFonts w:ascii="Century Schoolbook" w:eastAsia="Century Schoolbook" w:hAnsi="Century Schoolbook" w:cs="Century Schoolbook"/>
          <w:b/>
          <w:color w:val="000000"/>
          <w:sz w:val="28"/>
          <w:szCs w:val="28"/>
        </w:rPr>
        <w:t xml:space="preserve">, </w:t>
      </w:r>
      <w:r w:rsidRPr="008E3B27">
        <w:rPr>
          <w:rFonts w:ascii="Century Schoolbook" w:hAnsi="Century Schoolbook" w:cs="Times New Roman"/>
          <w:b/>
          <w:sz w:val="28"/>
          <w:szCs w:val="28"/>
          <w:lang w:val="sv-SE"/>
        </w:rPr>
        <w:t>Febry Vista Kristen Tarigan</w:t>
      </w:r>
      <w:r w:rsidR="005F0013" w:rsidRPr="008E3B27">
        <w:rPr>
          <w:rFonts w:ascii="Century Schoolbook" w:eastAsia="Century Schoolbook" w:hAnsi="Century Schoolbook" w:cs="Century Schoolbook"/>
          <w:b/>
          <w:color w:val="000000"/>
          <w:sz w:val="28"/>
          <w:szCs w:val="28"/>
          <w:vertAlign w:val="superscript"/>
        </w:rPr>
        <w:tab/>
      </w:r>
    </w:p>
    <w:p w14:paraId="4AE37683" w14:textId="733F7A30" w:rsidR="00F870A4" w:rsidRPr="00752CFE" w:rsidRDefault="005F0013" w:rsidP="00752CFE">
      <w:pPr>
        <w:spacing w:line="276" w:lineRule="auto"/>
        <w:jc w:val="both"/>
        <w:rPr>
          <w:rFonts w:ascii="Century Schoolbook" w:eastAsia="Century Schoolbook" w:hAnsi="Century Schoolbook" w:cs="Century Schoolbook"/>
          <w:i/>
          <w:sz w:val="20"/>
          <w:szCs w:val="20"/>
          <w:lang w:val="id-ID"/>
        </w:rPr>
      </w:pPr>
      <w:proofErr w:type="spellStart"/>
      <w:r w:rsidRPr="00752CFE">
        <w:rPr>
          <w:rFonts w:ascii="Century Schoolbook" w:eastAsia="Century Schoolbook" w:hAnsi="Century Schoolbook" w:cs="Century Schoolbook"/>
          <w:i/>
          <w:color w:val="333333"/>
          <w:sz w:val="20"/>
          <w:szCs w:val="20"/>
          <w:highlight w:val="white"/>
        </w:rPr>
        <w:t>Mahasiswa</w:t>
      </w:r>
      <w:proofErr w:type="spellEnd"/>
      <w:r w:rsidRPr="00752CFE">
        <w:rPr>
          <w:rFonts w:ascii="Century Schoolbook" w:eastAsia="Century Schoolbook" w:hAnsi="Century Schoolbook" w:cs="Century Schoolbook"/>
          <w:i/>
          <w:color w:val="333333"/>
          <w:sz w:val="20"/>
          <w:szCs w:val="20"/>
          <w:highlight w:val="white"/>
        </w:rPr>
        <w:t xml:space="preserve"> </w:t>
      </w:r>
      <w:r w:rsidR="001E3149" w:rsidRPr="00752CFE">
        <w:rPr>
          <w:rFonts w:ascii="Century Schoolbook" w:eastAsia="Century Schoolbook" w:hAnsi="Century Schoolbook" w:cs="Century Schoolbook"/>
          <w:i/>
          <w:color w:val="333333"/>
          <w:sz w:val="20"/>
          <w:szCs w:val="20"/>
          <w:highlight w:val="white"/>
          <w:lang w:val="id-ID"/>
        </w:rPr>
        <w:t>Statistika</w:t>
      </w:r>
      <w:r w:rsidR="001E3149" w:rsidRPr="00752CFE">
        <w:rPr>
          <w:rFonts w:ascii="Century Schoolbook" w:eastAsia="Century Schoolbook" w:hAnsi="Century Schoolbook" w:cs="Century Schoolbook"/>
          <w:i/>
          <w:color w:val="333333"/>
          <w:sz w:val="20"/>
          <w:szCs w:val="20"/>
          <w:highlight w:val="white"/>
        </w:rPr>
        <w:t>, F</w:t>
      </w:r>
      <w:r w:rsidR="001E3149" w:rsidRPr="00752CFE">
        <w:rPr>
          <w:rFonts w:ascii="Century Schoolbook" w:eastAsia="Century Schoolbook" w:hAnsi="Century Schoolbook" w:cs="Century Schoolbook"/>
          <w:i/>
          <w:color w:val="333333"/>
          <w:sz w:val="20"/>
          <w:szCs w:val="20"/>
          <w:highlight w:val="white"/>
          <w:lang w:val="id-ID"/>
        </w:rPr>
        <w:t>MIPA</w:t>
      </w:r>
      <w:r w:rsidRPr="00752CFE">
        <w:rPr>
          <w:rFonts w:ascii="Century Schoolbook" w:eastAsia="Century Schoolbook" w:hAnsi="Century Schoolbook" w:cs="Century Schoolbook"/>
          <w:i/>
          <w:color w:val="333333"/>
          <w:sz w:val="20"/>
          <w:szCs w:val="20"/>
          <w:highlight w:val="white"/>
        </w:rPr>
        <w:t xml:space="preserve">, Universitas </w:t>
      </w:r>
      <w:r w:rsidR="001E3149" w:rsidRPr="00752CFE">
        <w:rPr>
          <w:rFonts w:ascii="Century Schoolbook" w:eastAsia="Century Schoolbook" w:hAnsi="Century Schoolbook" w:cs="Century Schoolbook"/>
          <w:i/>
          <w:color w:val="333333"/>
          <w:sz w:val="20"/>
          <w:szCs w:val="20"/>
          <w:highlight w:val="white"/>
          <w:lang w:val="id-ID"/>
        </w:rPr>
        <w:t>Negeri Medan</w:t>
      </w:r>
      <w:r w:rsidRPr="00752CFE">
        <w:rPr>
          <w:rFonts w:ascii="Century Schoolbook" w:eastAsia="Century Schoolbook" w:hAnsi="Century Schoolbook" w:cs="Century Schoolbook"/>
          <w:i/>
          <w:color w:val="333333"/>
          <w:sz w:val="20"/>
          <w:szCs w:val="20"/>
          <w:highlight w:val="white"/>
        </w:rPr>
        <w:t xml:space="preserve">, </w:t>
      </w:r>
      <w:r w:rsidRPr="00752CFE">
        <w:rPr>
          <w:rFonts w:ascii="Century Schoolbook" w:eastAsia="Century Schoolbook" w:hAnsi="Century Schoolbook" w:cs="Century Schoolbook"/>
          <w:i/>
          <w:sz w:val="20"/>
          <w:szCs w:val="20"/>
        </w:rPr>
        <w:t>M</w:t>
      </w:r>
      <w:r w:rsidR="001E3149" w:rsidRPr="00752CFE">
        <w:rPr>
          <w:rFonts w:ascii="Century Schoolbook" w:eastAsia="Century Schoolbook" w:hAnsi="Century Schoolbook" w:cs="Century Schoolbook"/>
          <w:i/>
          <w:sz w:val="20"/>
          <w:szCs w:val="20"/>
          <w:lang w:val="id-ID"/>
        </w:rPr>
        <w:t>edan</w:t>
      </w:r>
    </w:p>
    <w:p w14:paraId="13466652" w14:textId="77777777" w:rsidR="00F870A4" w:rsidRPr="00752CFE" w:rsidRDefault="00D61A4A" w:rsidP="0048798C">
      <w:pPr>
        <w:spacing w:before="60" w:line="276" w:lineRule="auto"/>
        <w:jc w:val="both"/>
        <w:rPr>
          <w:rFonts w:ascii="Century Schoolbook" w:eastAsia="Century Schoolbook" w:hAnsi="Century Schoolbook" w:cs="Century Schoolbook"/>
          <w:color w:val="000000"/>
        </w:rPr>
      </w:pPr>
      <w:hyperlink r:id="rId8" w:history="1">
        <w:r w:rsidRPr="00752CFE">
          <w:rPr>
            <w:rStyle w:val="Hyperlink"/>
            <w:rFonts w:ascii="Century Schoolbook" w:eastAsia="Century Schoolbook" w:hAnsi="Century Schoolbook" w:cs="Century Schoolbook"/>
          </w:rPr>
          <w:t>bungariatp@gmail.com</w:t>
        </w:r>
      </w:hyperlink>
    </w:p>
    <w:p w14:paraId="5E781F6F" w14:textId="58BCAB56" w:rsidR="00F870A4" w:rsidRPr="008E3B27" w:rsidRDefault="005F0013" w:rsidP="008E3B27">
      <w:pPr>
        <w:spacing w:before="120" w:line="276" w:lineRule="auto"/>
        <w:jc w:val="both"/>
        <w:rPr>
          <w:rFonts w:ascii="Century Schoolbook" w:eastAsia="Century Schoolbook" w:hAnsi="Century Schoolbook" w:cs="Century Schoolbook"/>
          <w:bCs/>
          <w:color w:val="000000"/>
          <w:sz w:val="22"/>
          <w:szCs w:val="22"/>
        </w:rPr>
      </w:pPr>
      <w:proofErr w:type="spellStart"/>
      <w:r w:rsidRPr="008E3B27">
        <w:rPr>
          <w:rFonts w:ascii="Century Schoolbook" w:eastAsia="Century Schoolbook" w:hAnsi="Century Schoolbook" w:cs="Century Schoolbook"/>
          <w:bCs/>
          <w:color w:val="000000"/>
          <w:sz w:val="22"/>
          <w:szCs w:val="22"/>
        </w:rPr>
        <w:t>Diterima</w:t>
      </w:r>
      <w:proofErr w:type="spellEnd"/>
      <w:r w:rsidRPr="008E3B27">
        <w:rPr>
          <w:rFonts w:ascii="Century Schoolbook" w:eastAsia="Century Schoolbook" w:hAnsi="Century Schoolbook" w:cs="Century Schoolbook"/>
          <w:bCs/>
          <w:color w:val="000000"/>
          <w:sz w:val="22"/>
          <w:szCs w:val="22"/>
        </w:rPr>
        <w:t>:</w:t>
      </w:r>
      <w:r w:rsidR="008E3B27">
        <w:rPr>
          <w:rFonts w:ascii="Century Schoolbook" w:eastAsia="Century Schoolbook" w:hAnsi="Century Schoolbook" w:cs="Century Schoolbook"/>
          <w:bCs/>
          <w:color w:val="000000"/>
          <w:sz w:val="22"/>
          <w:szCs w:val="22"/>
        </w:rPr>
        <w:t xml:space="preserve"> 05-12-2025</w:t>
      </w:r>
      <w:r w:rsidRPr="008E3B27">
        <w:rPr>
          <w:rFonts w:ascii="Century Schoolbook" w:eastAsia="Century Schoolbook" w:hAnsi="Century Schoolbook" w:cs="Century Schoolbook"/>
          <w:bCs/>
          <w:color w:val="000000"/>
          <w:sz w:val="22"/>
          <w:szCs w:val="22"/>
        </w:rPr>
        <w:t xml:space="preserve">; </w:t>
      </w:r>
      <w:proofErr w:type="spellStart"/>
      <w:r w:rsidRPr="008E3B27">
        <w:rPr>
          <w:rFonts w:ascii="Century Schoolbook" w:eastAsia="Century Schoolbook" w:hAnsi="Century Schoolbook" w:cs="Century Schoolbook"/>
          <w:bCs/>
          <w:color w:val="000000"/>
          <w:sz w:val="22"/>
          <w:szCs w:val="22"/>
        </w:rPr>
        <w:t>Direvisi</w:t>
      </w:r>
      <w:proofErr w:type="spellEnd"/>
      <w:r w:rsidRPr="008E3B27">
        <w:rPr>
          <w:rFonts w:ascii="Century Schoolbook" w:eastAsia="Century Schoolbook" w:hAnsi="Century Schoolbook" w:cs="Century Schoolbook"/>
          <w:bCs/>
          <w:color w:val="000000"/>
          <w:sz w:val="22"/>
          <w:szCs w:val="22"/>
        </w:rPr>
        <w:t>:</w:t>
      </w:r>
      <w:r w:rsidR="008E3B27">
        <w:rPr>
          <w:rFonts w:ascii="Century Schoolbook" w:eastAsia="Century Schoolbook" w:hAnsi="Century Schoolbook" w:cs="Century Schoolbook"/>
          <w:bCs/>
          <w:color w:val="000000"/>
          <w:sz w:val="22"/>
          <w:szCs w:val="22"/>
        </w:rPr>
        <w:t xml:space="preserve"> 24-12-2025</w:t>
      </w:r>
      <w:r w:rsidRPr="008E3B27">
        <w:rPr>
          <w:rFonts w:ascii="Century Schoolbook" w:eastAsia="Century Schoolbook" w:hAnsi="Century Schoolbook" w:cs="Century Schoolbook"/>
          <w:bCs/>
          <w:color w:val="000000"/>
          <w:sz w:val="22"/>
          <w:szCs w:val="22"/>
        </w:rPr>
        <w:t xml:space="preserve">; </w:t>
      </w:r>
      <w:proofErr w:type="spellStart"/>
      <w:r w:rsidRPr="008E3B27">
        <w:rPr>
          <w:rFonts w:ascii="Century Schoolbook" w:eastAsia="Century Schoolbook" w:hAnsi="Century Schoolbook" w:cs="Century Schoolbook"/>
          <w:bCs/>
          <w:color w:val="000000"/>
          <w:sz w:val="22"/>
          <w:szCs w:val="22"/>
        </w:rPr>
        <w:t>Dipublikasi</w:t>
      </w:r>
      <w:proofErr w:type="spellEnd"/>
      <w:r w:rsidRPr="008E3B27">
        <w:rPr>
          <w:rFonts w:ascii="Century Schoolbook" w:eastAsia="Century Schoolbook" w:hAnsi="Century Schoolbook" w:cs="Century Schoolbook"/>
          <w:bCs/>
          <w:color w:val="000000"/>
          <w:sz w:val="22"/>
          <w:szCs w:val="22"/>
        </w:rPr>
        <w:t>:</w:t>
      </w:r>
      <w:r w:rsidR="008E3B27">
        <w:rPr>
          <w:rFonts w:ascii="Century Schoolbook" w:eastAsia="Century Schoolbook" w:hAnsi="Century Schoolbook" w:cs="Century Schoolbook"/>
          <w:bCs/>
          <w:color w:val="000000"/>
          <w:sz w:val="22"/>
          <w:szCs w:val="22"/>
        </w:rPr>
        <w:t xml:space="preserve"> 28-12-2025</w:t>
      </w:r>
    </w:p>
    <w:p w14:paraId="415ACDA0" w14:textId="77777777" w:rsidR="00F870A4" w:rsidRPr="008E3B27" w:rsidRDefault="00F870A4" w:rsidP="00752CFE">
      <w:pPr>
        <w:spacing w:line="276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18"/>
          <w:szCs w:val="18"/>
        </w:rPr>
      </w:pPr>
    </w:p>
    <w:p w14:paraId="538F46F8" w14:textId="77777777" w:rsidR="00F870A4" w:rsidRPr="00752CFE" w:rsidRDefault="005F0013" w:rsidP="00752CFE">
      <w:pPr>
        <w:spacing w:line="276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20"/>
          <w:szCs w:val="20"/>
        </w:rPr>
      </w:pPr>
      <w:r w:rsidRPr="00752CFE">
        <w:rPr>
          <w:rFonts w:ascii="Century Schoolbook" w:eastAsia="Century Schoolbook" w:hAnsi="Century Schoolbook" w:cs="Century Schoolbook"/>
          <w:b/>
          <w:color w:val="000000"/>
          <w:sz w:val="18"/>
          <w:szCs w:val="18"/>
        </w:rPr>
        <w:t>Abstract</w:t>
      </w:r>
      <w:r w:rsidRPr="00752CFE">
        <w:rPr>
          <w:rFonts w:ascii="Century Schoolbook" w:eastAsia="Century Schoolbook" w:hAnsi="Century Schoolbook" w:cs="Century Schoolbook"/>
          <w:b/>
          <w:color w:val="000000"/>
          <w:sz w:val="20"/>
          <w:szCs w:val="20"/>
        </w:rPr>
        <w:t xml:space="preserve"> </w:t>
      </w:r>
    </w:p>
    <w:p w14:paraId="06723E8F" w14:textId="390433EB" w:rsidR="001E3149" w:rsidRPr="008E3B27" w:rsidRDefault="001E3149" w:rsidP="00752CFE">
      <w:pPr>
        <w:spacing w:line="276" w:lineRule="auto"/>
        <w:jc w:val="both"/>
        <w:rPr>
          <w:rFonts w:ascii="Century Schoolbook" w:hAnsi="Century Schoolbook" w:cs="Times New Roman"/>
          <w:i/>
          <w:iCs/>
        </w:rPr>
      </w:pPr>
      <w:r w:rsidRPr="00752CFE">
        <w:rPr>
          <w:rFonts w:ascii="Century Schoolbook" w:hAnsi="Century Schoolbook" w:cs="Times New Roman"/>
          <w:iCs/>
          <w:sz w:val="18"/>
          <w:szCs w:val="18"/>
        </w:rPr>
        <w:t xml:space="preserve">This study integrates modern financial analysis with artificial intelligence to evaluate investment and risk profiles of PT United Tractors </w:t>
      </w:r>
      <w:proofErr w:type="spellStart"/>
      <w:r w:rsidRPr="00752CFE">
        <w:rPr>
          <w:rFonts w:ascii="Century Schoolbook" w:hAnsi="Century Schoolbook" w:cs="Times New Roman"/>
          <w:iCs/>
          <w:sz w:val="18"/>
          <w:szCs w:val="18"/>
        </w:rPr>
        <w:t>Tbk</w:t>
      </w:r>
      <w:proofErr w:type="spellEnd"/>
      <w:r w:rsidRPr="00752CFE">
        <w:rPr>
          <w:rFonts w:ascii="Century Schoolbook" w:hAnsi="Century Schoolbook" w:cs="Times New Roman"/>
          <w:iCs/>
          <w:sz w:val="18"/>
          <w:szCs w:val="18"/>
        </w:rPr>
        <w:t xml:space="preserve"> (UNTR) stock during the period of January 2015 to December 2024. Employing a quantitative approach with 116 monthly observations, this research combines machine learning algorithms (Logistic Regression and </w:t>
      </w:r>
      <w:proofErr w:type="spellStart"/>
      <w:r w:rsidRPr="00752CFE">
        <w:rPr>
          <w:rFonts w:ascii="Century Schoolbook" w:hAnsi="Century Schoolbook" w:cs="Times New Roman"/>
          <w:iCs/>
          <w:sz w:val="18"/>
          <w:szCs w:val="18"/>
        </w:rPr>
        <w:t>XGBoost</w:t>
      </w:r>
      <w:proofErr w:type="spellEnd"/>
      <w:r w:rsidRPr="00752CFE">
        <w:rPr>
          <w:rFonts w:ascii="Century Schoolbook" w:hAnsi="Century Schoolbook" w:cs="Times New Roman"/>
          <w:iCs/>
          <w:sz w:val="18"/>
          <w:szCs w:val="18"/>
        </w:rPr>
        <w:t xml:space="preserve">) with econometric modeling (Vector Autoregression) to predict stock return directions and analyze dynamic relationships among macroeconomic and fundamental variables. The results reveal that both machine learning models achieved approximately 53% accuracy, with </w:t>
      </w:r>
      <w:proofErr w:type="gramStart"/>
      <w:r w:rsidRPr="00752CFE">
        <w:rPr>
          <w:rFonts w:ascii="Century Schoolbook" w:hAnsi="Century Schoolbook" w:cs="Times New Roman"/>
          <w:iCs/>
          <w:sz w:val="18"/>
          <w:szCs w:val="18"/>
        </w:rPr>
        <w:t>Debt to Equity</w:t>
      </w:r>
      <w:proofErr w:type="gramEnd"/>
      <w:r w:rsidRPr="00752CFE">
        <w:rPr>
          <w:rFonts w:ascii="Century Schoolbook" w:hAnsi="Century Schoolbook" w:cs="Times New Roman"/>
          <w:iCs/>
          <w:sz w:val="18"/>
          <w:szCs w:val="18"/>
        </w:rPr>
        <w:t xml:space="preserve"> Ratio (DER) emerging as the most influential predictor at 21.4% importance, highlighting the dominance of fundamental factors over macroeconomic variables. VAR analysis demonstrates that over 98% of UNTR's volatility is explained by its internal momentum rather than external factors such as coal prices or exchange rates. Risk assessment through Value at Risk (</w:t>
      </w:r>
      <w:proofErr w:type="spellStart"/>
      <w:r w:rsidRPr="00752CFE">
        <w:rPr>
          <w:rFonts w:ascii="Century Schoolbook" w:hAnsi="Century Schoolbook" w:cs="Times New Roman"/>
          <w:iCs/>
          <w:sz w:val="18"/>
          <w:szCs w:val="18"/>
        </w:rPr>
        <w:t>VaR</w:t>
      </w:r>
      <w:proofErr w:type="spellEnd"/>
      <w:r w:rsidRPr="00752CFE">
        <w:rPr>
          <w:rFonts w:ascii="Century Schoolbook" w:hAnsi="Century Schoolbook" w:cs="Times New Roman"/>
          <w:iCs/>
          <w:sz w:val="18"/>
          <w:szCs w:val="18"/>
        </w:rPr>
        <w:t>) at 95% confidence level indicates a maximum potential loss of 15.7%, while Maximum Drawdown (MDD) of -59.64% suggests substantial historical volatility. This hybrid framework successfully provides comprehensive insights for investment decision-making by integrating predictive modeling with formal risk measurement tools</w:t>
      </w:r>
      <w:r w:rsidRPr="00752CFE">
        <w:rPr>
          <w:rFonts w:ascii="Century Schoolbook" w:hAnsi="Century Schoolbook" w:cs="Times New Roman"/>
          <w:i/>
          <w:iCs/>
        </w:rPr>
        <w:t>.</w:t>
      </w:r>
    </w:p>
    <w:p w14:paraId="67D6A433" w14:textId="52F26B1E" w:rsidR="001E3149" w:rsidRPr="00752CFE" w:rsidRDefault="005F0013" w:rsidP="00752CFE">
      <w:pPr>
        <w:spacing w:line="276" w:lineRule="auto"/>
        <w:jc w:val="both"/>
        <w:rPr>
          <w:rFonts w:ascii="Century Schoolbook" w:hAnsi="Century Schoolbook" w:cs="Times New Roman"/>
          <w:i/>
          <w:iCs/>
          <w:sz w:val="18"/>
          <w:szCs w:val="18"/>
          <w:lang w:val="en-ID"/>
        </w:rPr>
      </w:pPr>
      <w:r w:rsidRPr="00752CFE">
        <w:rPr>
          <w:rFonts w:ascii="Century Schoolbook" w:eastAsia="Century Schoolbook" w:hAnsi="Century Schoolbook" w:cs="Century Schoolbook"/>
          <w:b/>
          <w:sz w:val="18"/>
          <w:szCs w:val="18"/>
        </w:rPr>
        <w:t xml:space="preserve">Keywords: </w:t>
      </w:r>
      <w:r w:rsidR="001E3149" w:rsidRPr="008E3B27">
        <w:rPr>
          <w:rFonts w:ascii="Century Schoolbook" w:hAnsi="Century Schoolbook" w:cs="Times New Roman"/>
          <w:sz w:val="18"/>
          <w:szCs w:val="18"/>
        </w:rPr>
        <w:t>UNTR</w:t>
      </w:r>
      <w:r w:rsidR="001E3149" w:rsidRPr="008E3B27">
        <w:rPr>
          <w:rFonts w:ascii="Century Schoolbook" w:hAnsi="Century Schoolbook" w:cs="Times New Roman"/>
          <w:sz w:val="18"/>
          <w:szCs w:val="18"/>
          <w:lang w:val="id-ID"/>
        </w:rPr>
        <w:t>;</w:t>
      </w:r>
      <w:r w:rsidR="001E3149" w:rsidRPr="008E3B27">
        <w:rPr>
          <w:rFonts w:ascii="Century Schoolbook" w:hAnsi="Century Schoolbook" w:cs="Times New Roman"/>
          <w:sz w:val="18"/>
          <w:szCs w:val="18"/>
        </w:rPr>
        <w:t xml:space="preserve"> </w:t>
      </w:r>
      <w:proofErr w:type="spellStart"/>
      <w:r w:rsidR="001E3149" w:rsidRPr="008E3B27">
        <w:rPr>
          <w:rFonts w:ascii="Century Schoolbook" w:hAnsi="Century Schoolbook" w:cs="Times New Roman"/>
          <w:sz w:val="18"/>
          <w:szCs w:val="18"/>
        </w:rPr>
        <w:t>XGBoost</w:t>
      </w:r>
      <w:proofErr w:type="spellEnd"/>
      <w:r w:rsidR="001E3149" w:rsidRPr="008E3B27">
        <w:rPr>
          <w:rFonts w:ascii="Century Schoolbook" w:hAnsi="Century Schoolbook" w:cs="Times New Roman"/>
          <w:sz w:val="18"/>
          <w:szCs w:val="18"/>
          <w:lang w:val="id-ID"/>
        </w:rPr>
        <w:t>;</w:t>
      </w:r>
      <w:r w:rsidR="001E3149" w:rsidRPr="008E3B27">
        <w:rPr>
          <w:rFonts w:ascii="Century Schoolbook" w:hAnsi="Century Schoolbook" w:cs="Times New Roman"/>
          <w:sz w:val="18"/>
          <w:szCs w:val="18"/>
        </w:rPr>
        <w:t xml:space="preserve"> Vector Autoregression</w:t>
      </w:r>
      <w:r w:rsidR="001E3149" w:rsidRPr="008E3B27">
        <w:rPr>
          <w:rFonts w:ascii="Century Schoolbook" w:hAnsi="Century Schoolbook" w:cs="Times New Roman"/>
          <w:sz w:val="18"/>
          <w:szCs w:val="18"/>
          <w:lang w:val="id-ID"/>
        </w:rPr>
        <w:t xml:space="preserve">; </w:t>
      </w:r>
      <w:r w:rsidR="001E3149" w:rsidRPr="008E3B27">
        <w:rPr>
          <w:rFonts w:ascii="Century Schoolbook" w:hAnsi="Century Schoolbook" w:cs="Times New Roman"/>
          <w:sz w:val="18"/>
          <w:szCs w:val="18"/>
        </w:rPr>
        <w:t>Maximum Drawdown</w:t>
      </w:r>
      <w:r w:rsidR="001E3149" w:rsidRPr="008E3B27">
        <w:rPr>
          <w:rFonts w:ascii="Century Schoolbook" w:hAnsi="Century Schoolbook" w:cs="Times New Roman"/>
          <w:sz w:val="18"/>
          <w:szCs w:val="18"/>
          <w:lang w:val="id-ID"/>
        </w:rPr>
        <w:t>;</w:t>
      </w:r>
      <w:r w:rsidR="001E3149" w:rsidRPr="008E3B27">
        <w:rPr>
          <w:rFonts w:ascii="Century Schoolbook" w:hAnsi="Century Schoolbook" w:cs="Times New Roman"/>
          <w:sz w:val="18"/>
          <w:szCs w:val="18"/>
        </w:rPr>
        <w:t xml:space="preserve"> </w:t>
      </w:r>
      <w:r w:rsidR="001E3149" w:rsidRPr="008E3B27">
        <w:rPr>
          <w:rFonts w:ascii="Century Schoolbook" w:hAnsi="Century Schoolbook" w:cs="Times New Roman"/>
          <w:sz w:val="18"/>
          <w:szCs w:val="18"/>
          <w:lang w:val="en"/>
        </w:rPr>
        <w:t>Stock Analysis</w:t>
      </w:r>
    </w:p>
    <w:p w14:paraId="5C78B128" w14:textId="77777777" w:rsidR="00F870A4" w:rsidRPr="00752CFE" w:rsidRDefault="00F870A4" w:rsidP="00752CFE">
      <w:pPr>
        <w:spacing w:line="276" w:lineRule="auto"/>
        <w:jc w:val="both"/>
        <w:rPr>
          <w:rFonts w:ascii="Century Schoolbook" w:eastAsia="Century Schoolbook" w:hAnsi="Century Schoolbook" w:cs="Century Schoolbook"/>
          <w:sz w:val="18"/>
          <w:szCs w:val="18"/>
        </w:rPr>
      </w:pPr>
    </w:p>
    <w:p w14:paraId="1D313003" w14:textId="77777777" w:rsidR="00F870A4" w:rsidRPr="00752CFE" w:rsidRDefault="005F0013" w:rsidP="00752CFE">
      <w:pPr>
        <w:spacing w:line="276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20"/>
          <w:szCs w:val="20"/>
        </w:rPr>
      </w:pPr>
      <w:proofErr w:type="spellStart"/>
      <w:r w:rsidRPr="00752CFE">
        <w:rPr>
          <w:rFonts w:ascii="Century Schoolbook" w:eastAsia="Century Schoolbook" w:hAnsi="Century Schoolbook" w:cs="Century Schoolbook"/>
          <w:b/>
          <w:color w:val="000000"/>
          <w:sz w:val="18"/>
          <w:szCs w:val="18"/>
        </w:rPr>
        <w:t>Abstrak</w:t>
      </w:r>
      <w:proofErr w:type="spellEnd"/>
      <w:r w:rsidRPr="00752CFE">
        <w:rPr>
          <w:rFonts w:ascii="Century Schoolbook" w:eastAsia="Century Schoolbook" w:hAnsi="Century Schoolbook" w:cs="Century Schoolbook"/>
          <w:b/>
          <w:color w:val="000000"/>
          <w:sz w:val="20"/>
          <w:szCs w:val="20"/>
        </w:rPr>
        <w:t xml:space="preserve"> </w:t>
      </w:r>
    </w:p>
    <w:p w14:paraId="67C297EB" w14:textId="77777777" w:rsidR="0048798C" w:rsidRDefault="001E3149" w:rsidP="0048798C">
      <w:pPr>
        <w:spacing w:line="276" w:lineRule="auto"/>
        <w:jc w:val="both"/>
        <w:rPr>
          <w:rFonts w:ascii="Century Schoolbook" w:hAnsi="Century Schoolbook" w:cs="Times New Roman"/>
          <w:sz w:val="18"/>
          <w:szCs w:val="18"/>
          <w:lang w:val="en-ID"/>
        </w:rPr>
      </w:pP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Penelitian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ini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mengintegrasikan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analisis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keuangan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modern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dengan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kecerdasan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buatan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untuk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mengevaluasi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profil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investasi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dan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risiko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saham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PT United Tractors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Tbk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(UNTR)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selama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periode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Januari 2015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hingga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Desember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2024.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Dengan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menggunakan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pendekatan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kuantitatif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terhadap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116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observasi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bulanan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,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penelitian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ini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mengombinasikan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algoritma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 </w:t>
      </w:r>
      <w:r w:rsidRPr="00752CFE">
        <w:rPr>
          <w:rFonts w:ascii="Century Schoolbook" w:hAnsi="Century Schoolbook" w:cs="Times New Roman"/>
          <w:i/>
          <w:iCs/>
          <w:sz w:val="18"/>
          <w:szCs w:val="18"/>
          <w:lang w:val="en-ID"/>
        </w:rPr>
        <w:t>machine learning</w:t>
      </w:r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 (Logistic Regression dan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XGBoost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)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dengan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pemodelan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ekonometrika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(Vector Autoregression)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untuk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memprediksi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arah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return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saham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dan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menganalisis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hubungan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dinamis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antar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variabel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makroekonomi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dan fundamental. Hasil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penelitian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menunjukkan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bahwa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kedua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model </w:t>
      </w:r>
      <w:r w:rsidRPr="00752CFE">
        <w:rPr>
          <w:rFonts w:ascii="Century Schoolbook" w:hAnsi="Century Schoolbook" w:cs="Times New Roman"/>
          <w:i/>
          <w:iCs/>
          <w:sz w:val="18"/>
          <w:szCs w:val="18"/>
          <w:lang w:val="en-ID"/>
        </w:rPr>
        <w:t>machine learning</w:t>
      </w:r>
      <w:r w:rsidRPr="00752CFE">
        <w:rPr>
          <w:rFonts w:ascii="Century Schoolbook" w:hAnsi="Century Schoolbook" w:cs="Times New Roman"/>
          <w:sz w:val="18"/>
          <w:szCs w:val="18"/>
          <w:lang w:val="en-ID"/>
        </w:rPr>
        <w:t> 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mencapai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akurasi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sekitar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53%,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dengan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Debt to Equity Ratio (DER)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sebagai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prediktor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paling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berpengaruh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dengan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kontribusi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21,4%, yang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mengindikasikan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dominasi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faktor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fundamental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dibandingkan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variabel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makroekonomi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.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Analisis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VAR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menunjukkan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bahwa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lebih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dari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98%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volatilitas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UNTR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dijelaskan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oleh momentum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internalnya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sendiri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,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bukan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faktor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eksternal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seperti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harga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batubara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atau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nilai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tukar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.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Penilaian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risiko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melalui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Value at Risk (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VaR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) pada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tingkat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kepercayaan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95%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menunjukkan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potensi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kerugian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maksimum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sebesar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15,7%,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sementara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Maximum Drawdown (MDD)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sebesar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-59,64%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mengindikasikan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volatilitas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historis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yang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substansial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.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Kerangka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kerja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hibrida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ini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berhasil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memberikan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wawasan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komprehensif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untuk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pengambilan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keputusan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investasi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dengan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mengintegrasikan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pemodelan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prediktif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dan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alat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pengukuran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sz w:val="18"/>
          <w:szCs w:val="18"/>
          <w:lang w:val="en-ID"/>
        </w:rPr>
        <w:t>risiko</w:t>
      </w:r>
      <w:proofErr w:type="spellEnd"/>
      <w:r w:rsidRPr="00752CFE">
        <w:rPr>
          <w:rFonts w:ascii="Century Schoolbook" w:hAnsi="Century Schoolbook" w:cs="Times New Roman"/>
          <w:sz w:val="18"/>
          <w:szCs w:val="18"/>
          <w:lang w:val="en-ID"/>
        </w:rPr>
        <w:t xml:space="preserve"> formal.</w:t>
      </w:r>
    </w:p>
    <w:p w14:paraId="2C1497BC" w14:textId="4AA84A65" w:rsidR="00F870A4" w:rsidRPr="0048798C" w:rsidRDefault="005F0013" w:rsidP="0048798C">
      <w:pPr>
        <w:spacing w:after="120" w:line="276" w:lineRule="auto"/>
        <w:jc w:val="both"/>
        <w:rPr>
          <w:rFonts w:ascii="Century Schoolbook" w:hAnsi="Century Schoolbook" w:cs="Times New Roman"/>
          <w:sz w:val="18"/>
          <w:szCs w:val="18"/>
          <w:lang w:val="en-ID"/>
        </w:rPr>
      </w:pPr>
      <w:r w:rsidRPr="00752CFE">
        <w:rPr>
          <w:rFonts w:ascii="Century Schoolbook" w:eastAsia="Century Schoolbook" w:hAnsi="Century Schoolbook" w:cs="Century Schoolbook"/>
          <w:b/>
          <w:sz w:val="18"/>
          <w:szCs w:val="18"/>
        </w:rPr>
        <w:t xml:space="preserve">Kata </w:t>
      </w:r>
      <w:r w:rsidRPr="00752CFE">
        <w:rPr>
          <w:rFonts w:ascii="Century Schoolbook" w:eastAsia="Century Schoolbook" w:hAnsi="Century Schoolbook" w:cs="Century Schoolbook"/>
          <w:b/>
          <w:color w:val="000000"/>
          <w:sz w:val="18"/>
          <w:szCs w:val="18"/>
        </w:rPr>
        <w:t>Kunci</w:t>
      </w:r>
      <w:r w:rsidRPr="00752CFE">
        <w:rPr>
          <w:rFonts w:ascii="Century Schoolbook" w:eastAsia="Century Schoolbook" w:hAnsi="Century Schoolbook" w:cs="Century Schoolbook"/>
          <w:b/>
          <w:sz w:val="18"/>
          <w:szCs w:val="18"/>
        </w:rPr>
        <w:t xml:space="preserve">: </w:t>
      </w:r>
      <w:r w:rsidR="001E3149" w:rsidRPr="00752CFE">
        <w:rPr>
          <w:rFonts w:ascii="Century Schoolbook" w:hAnsi="Century Schoolbook" w:cs="Times New Roman"/>
          <w:iCs/>
          <w:sz w:val="18"/>
          <w:szCs w:val="18"/>
        </w:rPr>
        <w:t>UNTR</w:t>
      </w:r>
      <w:r w:rsidR="001E3149" w:rsidRPr="00752CFE">
        <w:rPr>
          <w:rFonts w:ascii="Century Schoolbook" w:hAnsi="Century Schoolbook" w:cs="Times New Roman"/>
          <w:iCs/>
          <w:sz w:val="18"/>
          <w:szCs w:val="18"/>
          <w:lang w:val="id-ID"/>
        </w:rPr>
        <w:t>;</w:t>
      </w:r>
      <w:r w:rsidR="001E3149" w:rsidRPr="00752CFE">
        <w:rPr>
          <w:rFonts w:ascii="Century Schoolbook" w:hAnsi="Century Schoolbook" w:cs="Times New Roman"/>
          <w:iCs/>
          <w:sz w:val="18"/>
          <w:szCs w:val="18"/>
        </w:rPr>
        <w:t xml:space="preserve"> </w:t>
      </w:r>
      <w:proofErr w:type="spellStart"/>
      <w:r w:rsidR="001E3149" w:rsidRPr="00752CFE">
        <w:rPr>
          <w:rFonts w:ascii="Century Schoolbook" w:hAnsi="Century Schoolbook" w:cs="Times New Roman"/>
          <w:iCs/>
          <w:sz w:val="18"/>
          <w:szCs w:val="18"/>
        </w:rPr>
        <w:t>XGBoost</w:t>
      </w:r>
      <w:proofErr w:type="spellEnd"/>
      <w:r w:rsidR="001E3149" w:rsidRPr="00752CFE">
        <w:rPr>
          <w:rFonts w:ascii="Century Schoolbook" w:hAnsi="Century Schoolbook" w:cs="Times New Roman"/>
          <w:iCs/>
          <w:sz w:val="18"/>
          <w:szCs w:val="18"/>
          <w:lang w:val="id-ID"/>
        </w:rPr>
        <w:t>;</w:t>
      </w:r>
      <w:r w:rsidR="001E3149" w:rsidRPr="00752CFE">
        <w:rPr>
          <w:rFonts w:ascii="Century Schoolbook" w:hAnsi="Century Schoolbook" w:cs="Times New Roman"/>
          <w:iCs/>
          <w:sz w:val="18"/>
          <w:szCs w:val="18"/>
        </w:rPr>
        <w:t xml:space="preserve"> Vector Autoregression</w:t>
      </w:r>
      <w:r w:rsidR="001E3149" w:rsidRPr="00752CFE">
        <w:rPr>
          <w:rFonts w:ascii="Century Schoolbook" w:hAnsi="Century Schoolbook" w:cs="Times New Roman"/>
          <w:iCs/>
          <w:sz w:val="18"/>
          <w:szCs w:val="18"/>
          <w:lang w:val="id-ID"/>
        </w:rPr>
        <w:t>;</w:t>
      </w:r>
      <w:r w:rsidR="001E3149" w:rsidRPr="00752CFE">
        <w:rPr>
          <w:rFonts w:ascii="Century Schoolbook" w:hAnsi="Century Schoolbook" w:cs="Times New Roman"/>
          <w:iCs/>
          <w:sz w:val="18"/>
          <w:szCs w:val="18"/>
        </w:rPr>
        <w:t xml:space="preserve"> Maximum Drawdown</w:t>
      </w:r>
      <w:r w:rsidR="001E3149" w:rsidRPr="00752CFE">
        <w:rPr>
          <w:rFonts w:ascii="Century Schoolbook" w:hAnsi="Century Schoolbook" w:cs="Times New Roman"/>
          <w:iCs/>
          <w:sz w:val="18"/>
          <w:szCs w:val="18"/>
          <w:lang w:val="id-ID"/>
        </w:rPr>
        <w:t>;</w:t>
      </w:r>
      <w:r w:rsidR="001E3149" w:rsidRPr="00752CFE">
        <w:rPr>
          <w:rFonts w:ascii="Century Schoolbook" w:hAnsi="Century Schoolbook" w:cs="Times New Roman"/>
          <w:iCs/>
          <w:sz w:val="18"/>
          <w:szCs w:val="18"/>
        </w:rPr>
        <w:t xml:space="preserve"> </w:t>
      </w:r>
      <w:proofErr w:type="spellStart"/>
      <w:r w:rsidR="001E3149" w:rsidRPr="00752CFE">
        <w:rPr>
          <w:rFonts w:ascii="Century Schoolbook" w:hAnsi="Century Schoolbook" w:cs="Times New Roman"/>
          <w:iCs/>
          <w:sz w:val="18"/>
          <w:szCs w:val="18"/>
        </w:rPr>
        <w:t>Analisis</w:t>
      </w:r>
      <w:proofErr w:type="spellEnd"/>
      <w:r w:rsidR="001E3149" w:rsidRPr="00752CFE">
        <w:rPr>
          <w:rFonts w:ascii="Century Schoolbook" w:hAnsi="Century Schoolbook" w:cs="Times New Roman"/>
          <w:iCs/>
          <w:sz w:val="18"/>
          <w:szCs w:val="18"/>
        </w:rPr>
        <w:t xml:space="preserve"> Saha</w:t>
      </w:r>
      <w:r w:rsidR="001E3149" w:rsidRPr="00752CFE">
        <w:rPr>
          <w:rFonts w:ascii="Century Schoolbook" w:hAnsi="Century Schoolbook" w:cs="Times New Roman"/>
          <w:iCs/>
          <w:sz w:val="18"/>
          <w:szCs w:val="18"/>
          <w:lang w:val="id-ID"/>
        </w:rPr>
        <w:t>m</w:t>
      </w:r>
    </w:p>
    <w:p w14:paraId="2D0DC6D6" w14:textId="77777777" w:rsidR="00115E57" w:rsidRPr="00752CFE" w:rsidRDefault="005F0013" w:rsidP="00752CFE">
      <w:pPr>
        <w:spacing w:after="120" w:line="276" w:lineRule="auto"/>
        <w:jc w:val="both"/>
        <w:rPr>
          <w:rFonts w:ascii="Century Schoolbook" w:eastAsia="Century Schoolbook" w:hAnsi="Century Schoolbook" w:cs="Century Schoolbook"/>
          <w:b/>
          <w:sz w:val="22"/>
          <w:szCs w:val="22"/>
        </w:rPr>
      </w:pPr>
      <w:r w:rsidRPr="00752CFE">
        <w:rPr>
          <w:rFonts w:ascii="Century Schoolbook" w:eastAsia="Century Schoolbook" w:hAnsi="Century Schoolbook" w:cs="Century Schoolbook"/>
          <w:b/>
          <w:sz w:val="22"/>
          <w:szCs w:val="22"/>
        </w:rPr>
        <w:lastRenderedPageBreak/>
        <w:t xml:space="preserve">1. PENDAHULUAN </w:t>
      </w:r>
      <w:bookmarkStart w:id="0" w:name="_heading=h.gjdgxs" w:colFirst="0" w:colLast="0"/>
      <w:bookmarkEnd w:id="0"/>
    </w:p>
    <w:p w14:paraId="0491DAC9" w14:textId="77777777" w:rsidR="002E5503" w:rsidRPr="002E5503" w:rsidRDefault="002E5503" w:rsidP="00B737B3">
      <w:pPr>
        <w:spacing w:after="100" w:afterAutospacing="1" w:line="276" w:lineRule="auto"/>
        <w:jc w:val="both"/>
        <w:rPr>
          <w:rFonts w:ascii="Century Schoolbook" w:eastAsia="Times New Roman" w:hAnsi="Century Schoolbook" w:cs="Times New Roman"/>
          <w:sz w:val="22"/>
          <w:szCs w:val="22"/>
        </w:rPr>
      </w:pPr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Pasar modal Indonesia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menunjukkan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pertumbuhan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yang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konsisten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dalam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satu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dekade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terakhir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seiring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meningkatnya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partisipasi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investor dan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perluasan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instrumen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investasi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.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Meskipun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demikian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volatilitas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harga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saham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yang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dipengaruhi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oleh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faktor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makroekonomi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fluktuasi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harga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komoditas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global,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serta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kondisi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fundamental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perusahaan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masih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menjadi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tantangan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utama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dalam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pengambilan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keputusan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investasi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(Rahman et al., 2023; Hidayat &amp; Nugroho, 2024). PT United Tractors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Tbk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(UNTR),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sebagai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salah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satu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emiten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dominan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di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sektor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alat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berat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dan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pertambangan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batubara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memiliki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karakteristik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harga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saham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yang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sensitif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terhadap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perubahan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harga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energi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dunia dan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dinamika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ekonomi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makro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.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Sensitivitas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tersebut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menyebabkan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tingkat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volatilitas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dan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risiko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saham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UNTR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relatif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tinggi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dibandingkan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dengan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sektor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lainnya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(Wijaya &amp; Kusuma, 2023),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sehingga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diperlukan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pendekatan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analitis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yang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mampu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menangkap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pola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pergerakan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harga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yang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bersifat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non-linear dan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dinamis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>.</w:t>
      </w:r>
    </w:p>
    <w:p w14:paraId="6A82F8BB" w14:textId="77777777" w:rsidR="002E5503" w:rsidRPr="002E5503" w:rsidRDefault="002E5503" w:rsidP="00752CFE">
      <w:pPr>
        <w:spacing w:before="100" w:beforeAutospacing="1" w:after="100" w:afterAutospacing="1" w:line="276" w:lineRule="auto"/>
        <w:jc w:val="both"/>
        <w:rPr>
          <w:rFonts w:ascii="Century Schoolbook" w:eastAsia="Times New Roman" w:hAnsi="Century Schoolbook" w:cs="Times New Roman"/>
          <w:sz w:val="22"/>
          <w:szCs w:val="22"/>
        </w:rPr>
      </w:pPr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Dalam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konteks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penelitian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di Indonesia,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analisis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harga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saham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masih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didominasi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oleh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pendekatan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statistik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klasik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seperti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regresi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linier, ARIMA, dan Vector Autoregression (VAR), yang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berfokus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pada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hubungan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linier dan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asumsi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stasioneritas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data (Novita &amp;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Nachrowi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2005;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Rosadi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&amp;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Prastyo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2018; Santoso &amp; Hidayat, 2020). Seiring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dengan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perkembangan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teknologi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komputasi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berbagai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algoritma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machine learning,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termasuk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Logistic Regression, Long Short-Term Memory (LSTM), dan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XGBoost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mulai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diadopsi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untuk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meningkatkan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akurasi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prediksi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arah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harga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dan return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saham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(Pramana &amp; Santoso, 2021; Setiawan &amp; Hadiyanto, 2022; Sharma et al., 2024).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Namun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demikian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sebagian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besar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studi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tersebut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masih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menerapkan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pendekatan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secara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terpisah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dan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belum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mengintegrasikan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prediksi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harga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analisis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keterkaitan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makroekonomi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serta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pengukuran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risiko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investasi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dalam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satu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kerangka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analisis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yang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menyeluruh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>.</w:t>
      </w:r>
    </w:p>
    <w:p w14:paraId="3D8D021D" w14:textId="77777777" w:rsidR="002E5503" w:rsidRPr="002E5503" w:rsidRDefault="002E5503" w:rsidP="00752CFE">
      <w:pPr>
        <w:spacing w:before="100" w:beforeAutospacing="1" w:after="100" w:afterAutospacing="1" w:line="276" w:lineRule="auto"/>
        <w:jc w:val="both"/>
        <w:rPr>
          <w:rFonts w:ascii="Century Schoolbook" w:eastAsia="Times New Roman" w:hAnsi="Century Schoolbook" w:cs="Times New Roman"/>
          <w:sz w:val="22"/>
          <w:szCs w:val="22"/>
        </w:rPr>
      </w:pP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Kebaruan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r w:rsidRPr="00752CFE">
        <w:rPr>
          <w:rFonts w:ascii="Century Schoolbook" w:eastAsia="Times New Roman" w:hAnsi="Century Schoolbook" w:cs="Times New Roman"/>
          <w:bCs/>
          <w:sz w:val="22"/>
          <w:szCs w:val="22"/>
          <w:lang w:val="id-ID"/>
        </w:rPr>
        <w:t xml:space="preserve">dari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penelitian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ini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terletak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pengembangan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pendekatan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hybrid yang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mengombinasikan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model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prediksi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berbasis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machine learning (Logistic Regression dan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XGBoost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),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analisis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hubungan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dinamis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antara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variabel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makroekonomi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dan fundamental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perusahaan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menggunakan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Vector Autoregression (VAR),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serta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pengukuran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risiko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finansial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melalui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Value at Risk (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VaR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) dan Maximum Drawdown (MDD)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dalam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satu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kerangka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analitis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terpadu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untuk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saham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PT United Tractors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Tbk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(UNTR).</w:t>
      </w:r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Pendekatan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integratif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semacam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ini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masih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relatif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jarang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diterapkan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secara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simultan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dalam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kajian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pasar modal Indonesia,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khususnya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pada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saham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sektor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pertambangan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yang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memiliki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karakteristik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volatilitas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tinggi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>.</w:t>
      </w:r>
    </w:p>
    <w:p w14:paraId="6596E6C1" w14:textId="77777777" w:rsidR="002E5503" w:rsidRPr="00752CFE" w:rsidRDefault="002E5503" w:rsidP="00752CFE">
      <w:pPr>
        <w:spacing w:before="100" w:beforeAutospacing="1" w:after="100" w:afterAutospacing="1" w:line="276" w:lineRule="auto"/>
        <w:jc w:val="both"/>
        <w:rPr>
          <w:rFonts w:ascii="Century Schoolbook" w:eastAsia="Times New Roman" w:hAnsi="Century Schoolbook" w:cs="Times New Roman"/>
          <w:sz w:val="22"/>
          <w:szCs w:val="22"/>
        </w:rPr>
      </w:pP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Berdasarkan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kerangka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tersebut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penelitian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ini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bertujuan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untuk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memprediksi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arah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return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saham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UNTR,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menganalisis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keterkaitan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dinamis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antar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variabel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ekonomi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yang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memengaruhi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pergerakan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harga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saham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mengidentifikasi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faktor-faktor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yang paling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dominan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melalui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analisis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feature importance,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serta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mengevaluasi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tingkat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risiko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investasi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menggunakan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pendekatan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Value at Risk (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VaR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) dan Maximum Drawdown (MDD) (Anam </w:t>
      </w:r>
      <w:r w:rsidRPr="002E5503">
        <w:rPr>
          <w:rFonts w:ascii="Century Schoolbook" w:eastAsia="Times New Roman" w:hAnsi="Century Schoolbook" w:cs="Times New Roman"/>
          <w:sz w:val="22"/>
          <w:szCs w:val="22"/>
        </w:rPr>
        <w:lastRenderedPageBreak/>
        <w:t xml:space="preserve">et al., 2021; Mendes &amp; Leal, 2017; </w:t>
      </w:r>
      <w:proofErr w:type="spellStart"/>
      <w:r w:rsidRPr="002E5503">
        <w:rPr>
          <w:rFonts w:ascii="Century Schoolbook" w:eastAsia="Times New Roman" w:hAnsi="Century Schoolbook" w:cs="Times New Roman"/>
          <w:sz w:val="22"/>
          <w:szCs w:val="22"/>
        </w:rPr>
        <w:t>Zabarankin</w:t>
      </w:r>
      <w:proofErr w:type="spellEnd"/>
      <w:r w:rsidRPr="002E5503">
        <w:rPr>
          <w:rFonts w:ascii="Century Schoolbook" w:eastAsia="Times New Roman" w:hAnsi="Century Schoolbook" w:cs="Times New Roman"/>
          <w:sz w:val="22"/>
          <w:szCs w:val="22"/>
        </w:rPr>
        <w:t xml:space="preserve"> et al., 2021).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Secara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eksplisit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,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penelitian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ini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berkontribusi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terhadap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pengayaan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literatur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pasar modal Indonesia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dengan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menawarkan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kerangka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analisis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komprehensif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dan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berbasis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data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untuk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saham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sektor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pertambangan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,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melalui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integrasi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aspek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prediksi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harga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,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analisis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ekonometrika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, dan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manajemen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risiko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dalam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satu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model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analitis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kohesif</w:t>
      </w:r>
      <w:proofErr w:type="spellEnd"/>
      <w:r w:rsidRPr="00752CFE">
        <w:rPr>
          <w:rFonts w:ascii="Century Schoolbook" w:eastAsia="Times New Roman" w:hAnsi="Century Schoolbook" w:cs="Times New Roman"/>
          <w:bCs/>
          <w:sz w:val="22"/>
          <w:szCs w:val="22"/>
        </w:rPr>
        <w:t>.</w:t>
      </w:r>
    </w:p>
    <w:p w14:paraId="691F5A3E" w14:textId="062DF530" w:rsidR="00F870A4" w:rsidRPr="00752CFE" w:rsidRDefault="005F0013" w:rsidP="00752CFE">
      <w:pPr>
        <w:spacing w:after="120" w:line="276" w:lineRule="auto"/>
        <w:jc w:val="both"/>
        <w:rPr>
          <w:rFonts w:ascii="Century Schoolbook" w:eastAsia="Century Schoolbook" w:hAnsi="Century Schoolbook" w:cs="Century Schoolbook"/>
          <w:b/>
          <w:sz w:val="22"/>
          <w:szCs w:val="22"/>
        </w:rPr>
      </w:pPr>
      <w:r w:rsidRPr="00752CFE">
        <w:rPr>
          <w:rFonts w:ascii="Century Schoolbook" w:eastAsia="Century Schoolbook" w:hAnsi="Century Schoolbook" w:cs="Century Schoolbook"/>
          <w:b/>
          <w:sz w:val="22"/>
          <w:szCs w:val="22"/>
        </w:rPr>
        <w:t>2.  METODE PE</w:t>
      </w:r>
      <w:r w:rsidR="0012568F">
        <w:rPr>
          <w:rFonts w:ascii="Century Schoolbook" w:eastAsia="Century Schoolbook" w:hAnsi="Century Schoolbook" w:cs="Century Schoolbook"/>
          <w:b/>
          <w:sz w:val="22"/>
          <w:szCs w:val="22"/>
        </w:rPr>
        <w:t>NELITIAN</w:t>
      </w:r>
      <w:r w:rsidRPr="00752CFE">
        <w:rPr>
          <w:rFonts w:ascii="Century Schoolbook" w:eastAsia="Century Schoolbook" w:hAnsi="Century Schoolbook" w:cs="Century Schoolbook"/>
          <w:b/>
          <w:sz w:val="22"/>
          <w:szCs w:val="22"/>
        </w:rPr>
        <w:t xml:space="preserve"> </w:t>
      </w:r>
    </w:p>
    <w:p w14:paraId="72D5FE72" w14:textId="77777777" w:rsidR="00115E57" w:rsidRPr="00752CFE" w:rsidRDefault="00115E57" w:rsidP="00752CFE">
      <w:pPr>
        <w:spacing w:line="276" w:lineRule="auto"/>
        <w:jc w:val="both"/>
        <w:rPr>
          <w:rFonts w:ascii="Century Schoolbook" w:hAnsi="Century Schoolbook" w:cs="Times New Roman"/>
          <w:b/>
          <w:sz w:val="22"/>
          <w:szCs w:val="22"/>
          <w:lang w:val="id-ID"/>
        </w:rPr>
      </w:pPr>
      <w:r w:rsidRPr="00752CFE">
        <w:rPr>
          <w:rFonts w:ascii="Century Schoolbook" w:hAnsi="Century Schoolbook" w:cs="Times New Roman"/>
          <w:b/>
          <w:sz w:val="22"/>
          <w:szCs w:val="22"/>
          <w:lang w:val="id-ID"/>
        </w:rPr>
        <w:t xml:space="preserve">2.1 Desain Penelitian </w:t>
      </w:r>
    </w:p>
    <w:p w14:paraId="168F5A45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menggunakan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pendekatan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kuantitatif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data time series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bulanan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periode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Januari 2015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hingga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Desember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2024.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Pemilihan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frekuensi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data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bulanan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didasarkan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pertimbangan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metodologis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untuk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mengurangi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noise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jangka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pendek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umum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terjadi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data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sehingga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pola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hubungan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antar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ekonomi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keuangan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dapat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diamati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secara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lebih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stabil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representatif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Selain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itu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data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bulanan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lebih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sesuai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untuk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menangkap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dinamika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jangka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menengah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relevan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hubungan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makroekonomi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fundamental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perusahaan</w:t>
      </w:r>
      <w:proofErr w:type="spellEnd"/>
      <w:r w:rsidRPr="00752CFE">
        <w:rPr>
          <w:rFonts w:ascii="Century Schoolbook" w:hAnsi="Century Schoolbook"/>
          <w:sz w:val="22"/>
          <w:szCs w:val="22"/>
        </w:rPr>
        <w:t>.</w:t>
      </w:r>
    </w:p>
    <w:p w14:paraId="1486D07A" w14:textId="77777777" w:rsidR="00115E57" w:rsidRPr="00752CFE" w:rsidRDefault="00D340FB" w:rsidP="00752CFE">
      <w:pPr>
        <w:spacing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Pendekatan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juga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selaras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penerapan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Vector Autoregression (VAR)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secara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umum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digunakan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untuk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keterkaitan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dinamis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antar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horizon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waktu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menengah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serta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pengukuran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investasi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seperti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Value at Risk (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) dan Maximum Drawdown (MDD)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bertujuan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mengevaluasi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eksposur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secara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agregat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fluktuasi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intraperiode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bersifat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sementara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demikian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penggunaan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data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bulanan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diharapkan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mampu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menghasilkan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estimasi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model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lebih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robust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interpretatif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konteks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investasi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PT United Tractors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Tbk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(UNTR).</w:t>
      </w:r>
    </w:p>
    <w:p w14:paraId="12F88FC5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/>
          <w:sz w:val="22"/>
          <w:szCs w:val="22"/>
        </w:rPr>
      </w:pPr>
    </w:p>
    <w:p w14:paraId="64B03BED" w14:textId="77777777" w:rsidR="00115E57" w:rsidRPr="00752CFE" w:rsidRDefault="00115E57" w:rsidP="00752CFE">
      <w:pPr>
        <w:spacing w:line="276" w:lineRule="auto"/>
        <w:jc w:val="both"/>
        <w:rPr>
          <w:rFonts w:ascii="Century Schoolbook" w:hAnsi="Century Schoolbook" w:cs="Times New Roman"/>
          <w:b/>
          <w:bCs/>
          <w:sz w:val="22"/>
          <w:szCs w:val="22"/>
          <w:lang w:val="sv-SE"/>
        </w:rPr>
      </w:pPr>
      <w:r w:rsidRPr="00752CFE">
        <w:rPr>
          <w:rFonts w:ascii="Century Schoolbook" w:hAnsi="Century Schoolbook" w:cs="Times New Roman"/>
          <w:b/>
          <w:bCs/>
          <w:sz w:val="22"/>
          <w:szCs w:val="22"/>
          <w:lang w:val="id-ID"/>
        </w:rPr>
        <w:t>2.</w:t>
      </w:r>
      <w:r w:rsidRPr="00752CFE">
        <w:rPr>
          <w:rFonts w:ascii="Century Schoolbook" w:hAnsi="Century Schoolbook" w:cs="Times New Roman"/>
          <w:b/>
          <w:bCs/>
          <w:sz w:val="22"/>
          <w:szCs w:val="22"/>
          <w:lang w:val="sv-SE"/>
        </w:rPr>
        <w:t>2 Data dan Variabel Penelitian</w:t>
      </w:r>
    </w:p>
    <w:p w14:paraId="57F7D840" w14:textId="33907098" w:rsidR="00115E57" w:rsidRPr="00D40C43" w:rsidRDefault="00D40C43" w:rsidP="00D40C43">
      <w:pPr>
        <w:spacing w:line="276" w:lineRule="auto"/>
        <w:jc w:val="both"/>
        <w:rPr>
          <w:rFonts w:ascii="Century Schoolbook" w:hAnsi="Century Schoolbook" w:cs="Times New Roman"/>
          <w:bCs/>
          <w:sz w:val="22"/>
          <w:szCs w:val="22"/>
          <w:lang w:val="sv-SE"/>
        </w:rPr>
      </w:pPr>
      <w:r w:rsidRPr="00D40C43">
        <w:rPr>
          <w:rFonts w:ascii="Century Schoolbook" w:hAnsi="Century Schoolbook" w:cs="Times New Roman"/>
          <w:bCs/>
          <w:sz w:val="22"/>
          <w:szCs w:val="22"/>
          <w:lang w:val="sv-SE"/>
        </w:rPr>
        <w:t xml:space="preserve">2.21 </w:t>
      </w:r>
      <w:r w:rsidR="00115E57" w:rsidRPr="00D40C43">
        <w:rPr>
          <w:rFonts w:ascii="Century Schoolbook" w:hAnsi="Century Schoolbook" w:cs="Times New Roman"/>
          <w:bCs/>
          <w:sz w:val="22"/>
          <w:szCs w:val="22"/>
          <w:lang w:val="sv-SE"/>
        </w:rPr>
        <w:t>Sumber Data</w:t>
      </w:r>
    </w:p>
    <w:p w14:paraId="5A2FF154" w14:textId="77777777" w:rsidR="00D340FB" w:rsidRPr="00752CFE" w:rsidRDefault="00115E57" w:rsidP="00D40C43">
      <w:pPr>
        <w:spacing w:after="120" w:line="276" w:lineRule="auto"/>
        <w:jc w:val="both"/>
        <w:rPr>
          <w:rFonts w:ascii="Century Schoolbook" w:hAnsi="Century Schoolbook"/>
          <w:sz w:val="22"/>
          <w:szCs w:val="22"/>
        </w:rPr>
      </w:pPr>
      <w:r w:rsidRPr="00752CFE">
        <w:rPr>
          <w:rFonts w:ascii="Century Schoolbook" w:hAnsi="Century Schoolbook" w:cs="Times New Roman"/>
          <w:sz w:val="22"/>
          <w:szCs w:val="22"/>
          <w:lang w:val="sv-SE"/>
        </w:rPr>
        <w:t xml:space="preserve">Data sekunder diperoleh dari periode Januari 2015-Desember 2024, menghasilkan 117 </w:t>
      </w:r>
      <w:r w:rsidR="00D340FB" w:rsidRPr="00752CFE">
        <w:rPr>
          <w:rFonts w:ascii="Century Schoolbook" w:hAnsi="Century Schoolbook"/>
          <w:sz w:val="22"/>
          <w:szCs w:val="22"/>
        </w:rPr>
        <w:t xml:space="preserve">Data yang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digunakan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merupakan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data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sekunder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periode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pengamatan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Januari 2015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hingga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Desember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2024,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sehingga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diperoleh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sebanyak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117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observasi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bulanan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setelah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pembentukan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lag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menjadi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116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observasi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. Data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PT United Tractors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Tbk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(UNTR)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diperoleh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dari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Investing.com, data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Indeks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Harga Saham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Gabungan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(IHSG)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dari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Bursa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Efek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Indonesia, data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rasio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keuangan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perusahaan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(Return on Equity/ROE dan Debt to Equity Ratio/DER)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dari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laporan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keuangan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resmi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PT United Tractors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Tbk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dipublikasikan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melalui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situs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perusahaan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serta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data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suku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bunga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acuan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(BI Rate) dan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nilai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tukar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USD/IDR yang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bersumber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="00D340FB" w:rsidRPr="00752CFE">
        <w:rPr>
          <w:rFonts w:ascii="Century Schoolbook" w:hAnsi="Century Schoolbook"/>
          <w:sz w:val="22"/>
          <w:szCs w:val="22"/>
        </w:rPr>
        <w:t>dari</w:t>
      </w:r>
      <w:proofErr w:type="spellEnd"/>
      <w:r w:rsidR="00D340FB" w:rsidRPr="00752CFE">
        <w:rPr>
          <w:rFonts w:ascii="Century Schoolbook" w:hAnsi="Century Schoolbook"/>
          <w:sz w:val="22"/>
          <w:szCs w:val="22"/>
        </w:rPr>
        <w:t xml:space="preserve"> Bank Indonesia.</w:t>
      </w:r>
    </w:p>
    <w:p w14:paraId="41F30AE8" w14:textId="4AFD5403" w:rsidR="00115E57" w:rsidRPr="00752CFE" w:rsidRDefault="00D40C43" w:rsidP="00D40C43">
      <w:pPr>
        <w:spacing w:line="276" w:lineRule="auto"/>
        <w:jc w:val="both"/>
        <w:rPr>
          <w:rFonts w:ascii="Century Schoolbook" w:hAnsi="Century Schoolbook" w:cs="Times New Roman"/>
          <w:bCs/>
          <w:sz w:val="22"/>
          <w:szCs w:val="22"/>
          <w:u w:val="single"/>
        </w:rPr>
      </w:pPr>
      <w:r>
        <w:rPr>
          <w:rFonts w:ascii="Century Schoolbook" w:hAnsi="Century Schoolbook" w:cs="Times New Roman"/>
          <w:sz w:val="22"/>
          <w:szCs w:val="22"/>
          <w:lang w:val="sv-SE"/>
        </w:rPr>
        <w:t xml:space="preserve">2.2.2 </w:t>
      </w:r>
      <w:proofErr w:type="spellStart"/>
      <w:r w:rsidRPr="00D40C43">
        <w:rPr>
          <w:rFonts w:ascii="Century Schoolbook" w:hAnsi="Century Schoolbook" w:cs="Times New Roman"/>
          <w:bCs/>
          <w:sz w:val="22"/>
          <w:szCs w:val="22"/>
        </w:rPr>
        <w:t>V</w:t>
      </w:r>
      <w:r w:rsidR="00115E57" w:rsidRPr="00D40C43">
        <w:rPr>
          <w:rFonts w:ascii="Century Schoolbook" w:hAnsi="Century Schoolbook" w:cs="Times New Roman"/>
          <w:bCs/>
          <w:sz w:val="22"/>
          <w:szCs w:val="22"/>
        </w:rPr>
        <w:t>ariabel</w:t>
      </w:r>
      <w:proofErr w:type="spellEnd"/>
      <w:r w:rsidR="00115E57" w:rsidRPr="00D40C43">
        <w:rPr>
          <w:rFonts w:ascii="Century Schoolbook" w:hAnsi="Century Schoolbook" w:cs="Times New Roman"/>
          <w:bCs/>
          <w:sz w:val="22"/>
          <w:szCs w:val="22"/>
        </w:rPr>
        <w:t xml:space="preserve"> </w:t>
      </w:r>
      <w:proofErr w:type="spellStart"/>
      <w:r w:rsidR="00115E57" w:rsidRPr="00D40C43">
        <w:rPr>
          <w:rFonts w:ascii="Century Schoolbook" w:hAnsi="Century Schoolbook" w:cs="Times New Roman"/>
          <w:bCs/>
          <w:sz w:val="22"/>
          <w:szCs w:val="22"/>
        </w:rPr>
        <w:t>Penelitian</w:t>
      </w:r>
      <w:proofErr w:type="spellEnd"/>
    </w:p>
    <w:p w14:paraId="37B945F0" w14:textId="77777777" w:rsidR="00D340FB" w:rsidRPr="00752CFE" w:rsidRDefault="00D340FB" w:rsidP="00752CFE">
      <w:pPr>
        <w:pStyle w:val="NormalWeb"/>
        <w:spacing w:before="0" w:beforeAutospacing="0"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dependen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adalah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r w:rsidRPr="00752CFE">
        <w:rPr>
          <w:rFonts w:ascii="Century Schoolbook" w:hAnsi="Century Schoolbook"/>
          <w:bCs/>
          <w:sz w:val="22"/>
          <w:szCs w:val="22"/>
        </w:rPr>
        <w:t xml:space="preserve">return </w:t>
      </w:r>
      <w:proofErr w:type="spellStart"/>
      <w:r w:rsidRPr="00752CFE">
        <w:rPr>
          <w:rFonts w:ascii="Century Schoolbook" w:hAnsi="Century Schoolbook"/>
          <w:bCs/>
          <w:sz w:val="22"/>
          <w:szCs w:val="22"/>
        </w:rPr>
        <w:t>bulanan</w:t>
      </w:r>
      <w:proofErr w:type="spellEnd"/>
      <w:r w:rsidRPr="00752CFE">
        <w:rPr>
          <w:rFonts w:ascii="Century Schoolbook" w:hAnsi="Century Schoolbook"/>
          <w:bCs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bCs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bCs/>
          <w:sz w:val="22"/>
          <w:szCs w:val="22"/>
        </w:rPr>
        <w:t xml:space="preserve"> PT United Tractors </w:t>
      </w:r>
      <w:proofErr w:type="spellStart"/>
      <w:r w:rsidRPr="00752CFE">
        <w:rPr>
          <w:rFonts w:ascii="Century Schoolbook" w:hAnsi="Century Schoolbook"/>
          <w:bCs/>
          <w:sz w:val="22"/>
          <w:szCs w:val="22"/>
        </w:rPr>
        <w:t>Tbk</w:t>
      </w:r>
      <w:proofErr w:type="spellEnd"/>
      <w:r w:rsidRPr="00752CFE">
        <w:rPr>
          <w:rFonts w:ascii="Century Schoolbook" w:hAnsi="Century Schoolbook"/>
          <w:bCs/>
          <w:sz w:val="22"/>
          <w:szCs w:val="22"/>
        </w:rPr>
        <w:t xml:space="preserve"> (UNTR)</w:t>
      </w:r>
      <w:r w:rsidRPr="00752CFE">
        <w:rPr>
          <w:rFonts w:ascii="Century Schoolbook" w:hAnsi="Century Schoolbook"/>
          <w:sz w:val="22"/>
          <w:szCs w:val="22"/>
        </w:rPr>
        <w:t xml:space="preserve">. Return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digunakan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sebagai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indikator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kinerja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investasi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karena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mencerminkan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tingkat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keuntungan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diterima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investor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serta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merespons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secara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langsung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perubahan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informasi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ekonomi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kondisi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pasar,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kinerja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perusahaan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(Pramana &amp; Santoso, 2021; Sharma et al., 2024).</w:t>
      </w:r>
    </w:p>
    <w:p w14:paraId="3B0D5CAF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lastRenderedPageBreak/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independen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dikelompokkan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makroekonomi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fundamental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perusahaan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pertimbangan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teoritis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sebagai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berikut</w:t>
      </w:r>
      <w:proofErr w:type="spellEnd"/>
      <w:r w:rsidRPr="00752CFE">
        <w:rPr>
          <w:rFonts w:ascii="Century Schoolbook" w:hAnsi="Century Schoolbook"/>
          <w:sz w:val="22"/>
          <w:szCs w:val="22"/>
        </w:rPr>
        <w:t>.</w:t>
      </w:r>
    </w:p>
    <w:p w14:paraId="70B7B92E" w14:textId="77777777" w:rsidR="00D40C43" w:rsidRDefault="00D340FB" w:rsidP="00D40C43">
      <w:pPr>
        <w:pStyle w:val="ListParagraph"/>
        <w:numPr>
          <w:ilvl w:val="0"/>
          <w:numId w:val="7"/>
        </w:numPr>
        <w:ind w:left="270" w:hanging="270"/>
        <w:jc w:val="both"/>
        <w:rPr>
          <w:rFonts w:ascii="Century Schoolbook" w:hAnsi="Century Schoolbook"/>
          <w:szCs w:val="22"/>
        </w:rPr>
      </w:pPr>
      <w:proofErr w:type="spellStart"/>
      <w:r w:rsidRPr="00D40C43">
        <w:rPr>
          <w:rFonts w:ascii="Century Schoolbook" w:hAnsi="Century Schoolbook"/>
          <w:szCs w:val="22"/>
        </w:rPr>
        <w:t>Variabel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Makroekonomi</w:t>
      </w:r>
      <w:proofErr w:type="spellEnd"/>
    </w:p>
    <w:p w14:paraId="6CE3DF81" w14:textId="77777777" w:rsidR="00D40C43" w:rsidRDefault="00D340FB" w:rsidP="00D40C43">
      <w:pPr>
        <w:pStyle w:val="ListParagraph"/>
        <w:ind w:left="270"/>
        <w:jc w:val="both"/>
        <w:rPr>
          <w:rFonts w:ascii="Century Schoolbook" w:hAnsi="Century Schoolbook"/>
          <w:szCs w:val="22"/>
        </w:rPr>
      </w:pPr>
      <w:proofErr w:type="spellStart"/>
      <w:r w:rsidRPr="00D40C43">
        <w:rPr>
          <w:rFonts w:ascii="Century Schoolbook" w:hAnsi="Century Schoolbook"/>
          <w:szCs w:val="22"/>
        </w:rPr>
        <w:t>Variabel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makroekonomi</w:t>
      </w:r>
      <w:proofErr w:type="spellEnd"/>
      <w:r w:rsidRPr="00D40C43">
        <w:rPr>
          <w:rFonts w:ascii="Century Schoolbook" w:hAnsi="Century Schoolbook"/>
          <w:szCs w:val="22"/>
        </w:rPr>
        <w:t xml:space="preserve"> yang </w:t>
      </w:r>
      <w:proofErr w:type="spellStart"/>
      <w:r w:rsidRPr="00D40C43">
        <w:rPr>
          <w:rFonts w:ascii="Century Schoolbook" w:hAnsi="Century Schoolbook"/>
          <w:szCs w:val="22"/>
        </w:rPr>
        <w:t>digunakan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meliputi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harga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batubara</w:t>
      </w:r>
      <w:proofErr w:type="spellEnd"/>
      <w:r w:rsidRPr="00D40C43">
        <w:rPr>
          <w:rFonts w:ascii="Century Schoolbook" w:hAnsi="Century Schoolbook"/>
          <w:szCs w:val="22"/>
        </w:rPr>
        <w:t xml:space="preserve"> (</w:t>
      </w:r>
      <w:proofErr w:type="spellStart"/>
      <w:r w:rsidRPr="00D40C43">
        <w:rPr>
          <w:rFonts w:ascii="Century Schoolbook" w:hAnsi="Century Schoolbook"/>
          <w:szCs w:val="22"/>
        </w:rPr>
        <w:t>Coal_Price</w:t>
      </w:r>
      <w:proofErr w:type="spellEnd"/>
      <w:r w:rsidRPr="00D40C43">
        <w:rPr>
          <w:rFonts w:ascii="Century Schoolbook" w:hAnsi="Century Schoolbook"/>
          <w:szCs w:val="22"/>
        </w:rPr>
        <w:t xml:space="preserve">), </w:t>
      </w:r>
      <w:proofErr w:type="spellStart"/>
      <w:r w:rsidRPr="00D40C43">
        <w:rPr>
          <w:rFonts w:ascii="Century Schoolbook" w:hAnsi="Century Schoolbook"/>
          <w:szCs w:val="22"/>
        </w:rPr>
        <w:t>nilai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tukar</w:t>
      </w:r>
      <w:proofErr w:type="spellEnd"/>
      <w:r w:rsidRPr="00D40C43">
        <w:rPr>
          <w:rFonts w:ascii="Century Schoolbook" w:hAnsi="Century Schoolbook"/>
          <w:szCs w:val="22"/>
        </w:rPr>
        <w:t xml:space="preserve"> USD/IDR, BI Rate, dan </w:t>
      </w:r>
      <w:proofErr w:type="spellStart"/>
      <w:r w:rsidRPr="00D40C43">
        <w:rPr>
          <w:rFonts w:ascii="Century Schoolbook" w:hAnsi="Century Schoolbook"/>
          <w:szCs w:val="22"/>
        </w:rPr>
        <w:t>Indeks</w:t>
      </w:r>
      <w:proofErr w:type="spellEnd"/>
      <w:r w:rsidRPr="00D40C43">
        <w:rPr>
          <w:rFonts w:ascii="Century Schoolbook" w:hAnsi="Century Schoolbook"/>
          <w:szCs w:val="22"/>
        </w:rPr>
        <w:t xml:space="preserve"> Harga Saham </w:t>
      </w:r>
      <w:proofErr w:type="spellStart"/>
      <w:r w:rsidRPr="00D40C43">
        <w:rPr>
          <w:rFonts w:ascii="Century Schoolbook" w:hAnsi="Century Schoolbook"/>
          <w:szCs w:val="22"/>
        </w:rPr>
        <w:t>Gabungan</w:t>
      </w:r>
      <w:proofErr w:type="spellEnd"/>
      <w:r w:rsidRPr="00D40C43">
        <w:rPr>
          <w:rFonts w:ascii="Century Schoolbook" w:hAnsi="Century Schoolbook"/>
          <w:szCs w:val="22"/>
        </w:rPr>
        <w:t xml:space="preserve"> (IHSG). </w:t>
      </w:r>
      <w:proofErr w:type="spellStart"/>
      <w:r w:rsidRPr="00D40C43">
        <w:rPr>
          <w:rFonts w:ascii="Century Schoolbook" w:hAnsi="Century Schoolbook"/>
          <w:szCs w:val="22"/>
        </w:rPr>
        <w:t>Secara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teoritis</w:t>
      </w:r>
      <w:proofErr w:type="spellEnd"/>
      <w:r w:rsidRPr="00D40C43">
        <w:rPr>
          <w:rFonts w:ascii="Century Schoolbook" w:hAnsi="Century Schoolbook"/>
          <w:szCs w:val="22"/>
        </w:rPr>
        <w:t xml:space="preserve">, </w:t>
      </w:r>
      <w:proofErr w:type="spellStart"/>
      <w:r w:rsidRPr="00D40C43">
        <w:rPr>
          <w:rFonts w:ascii="Century Schoolbook" w:hAnsi="Century Schoolbook"/>
          <w:szCs w:val="22"/>
        </w:rPr>
        <w:t>variabel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makroekonomi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berperan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sebagai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faktor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eksternal</w:t>
      </w:r>
      <w:proofErr w:type="spellEnd"/>
      <w:r w:rsidRPr="00D40C43">
        <w:rPr>
          <w:rFonts w:ascii="Century Schoolbook" w:hAnsi="Century Schoolbook"/>
          <w:szCs w:val="22"/>
        </w:rPr>
        <w:t xml:space="preserve"> yang </w:t>
      </w:r>
      <w:proofErr w:type="spellStart"/>
      <w:r w:rsidRPr="00D40C43">
        <w:rPr>
          <w:rFonts w:ascii="Century Schoolbook" w:hAnsi="Century Schoolbook"/>
          <w:szCs w:val="22"/>
        </w:rPr>
        <w:t>memengaruhi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kinerja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perusahaan</w:t>
      </w:r>
      <w:proofErr w:type="spellEnd"/>
      <w:r w:rsidRPr="00D40C43">
        <w:rPr>
          <w:rFonts w:ascii="Century Schoolbook" w:hAnsi="Century Schoolbook"/>
          <w:szCs w:val="22"/>
        </w:rPr>
        <w:t xml:space="preserve"> dan </w:t>
      </w:r>
      <w:proofErr w:type="spellStart"/>
      <w:r w:rsidRPr="00D40C43">
        <w:rPr>
          <w:rFonts w:ascii="Century Schoolbook" w:hAnsi="Century Schoolbook"/>
          <w:szCs w:val="22"/>
        </w:rPr>
        <w:t>ekspektasi</w:t>
      </w:r>
      <w:proofErr w:type="spellEnd"/>
      <w:r w:rsidRPr="00D40C43">
        <w:rPr>
          <w:rFonts w:ascii="Century Schoolbook" w:hAnsi="Century Schoolbook"/>
          <w:szCs w:val="22"/>
        </w:rPr>
        <w:t xml:space="preserve"> investor di pasar modal. </w:t>
      </w:r>
      <w:proofErr w:type="spellStart"/>
      <w:r w:rsidRPr="00D40C43">
        <w:rPr>
          <w:rFonts w:ascii="Century Schoolbook" w:hAnsi="Century Schoolbook"/>
          <w:szCs w:val="22"/>
        </w:rPr>
        <w:t>Perubahan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harga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komoditas</w:t>
      </w:r>
      <w:proofErr w:type="spellEnd"/>
      <w:r w:rsidRPr="00D40C43">
        <w:rPr>
          <w:rFonts w:ascii="Century Schoolbook" w:hAnsi="Century Schoolbook"/>
          <w:szCs w:val="22"/>
        </w:rPr>
        <w:t xml:space="preserve">, </w:t>
      </w:r>
      <w:proofErr w:type="spellStart"/>
      <w:r w:rsidRPr="00D40C43">
        <w:rPr>
          <w:rFonts w:ascii="Century Schoolbook" w:hAnsi="Century Schoolbook"/>
          <w:szCs w:val="22"/>
        </w:rPr>
        <w:t>khususnya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batubara</w:t>
      </w:r>
      <w:proofErr w:type="spellEnd"/>
      <w:r w:rsidRPr="00D40C43">
        <w:rPr>
          <w:rFonts w:ascii="Century Schoolbook" w:hAnsi="Century Schoolbook"/>
          <w:szCs w:val="22"/>
        </w:rPr>
        <w:t xml:space="preserve">, </w:t>
      </w:r>
      <w:proofErr w:type="spellStart"/>
      <w:r w:rsidRPr="00D40C43">
        <w:rPr>
          <w:rFonts w:ascii="Century Schoolbook" w:hAnsi="Century Schoolbook"/>
          <w:szCs w:val="22"/>
        </w:rPr>
        <w:t>memiliki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pengaruh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signifikan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terhadap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profitabilitas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perusahaan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sektor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pertambangan</w:t>
      </w:r>
      <w:proofErr w:type="spellEnd"/>
      <w:r w:rsidRPr="00D40C43">
        <w:rPr>
          <w:rFonts w:ascii="Century Schoolbook" w:hAnsi="Century Schoolbook"/>
          <w:szCs w:val="22"/>
        </w:rPr>
        <w:t xml:space="preserve"> dan </w:t>
      </w:r>
      <w:proofErr w:type="spellStart"/>
      <w:r w:rsidRPr="00D40C43">
        <w:rPr>
          <w:rFonts w:ascii="Century Schoolbook" w:hAnsi="Century Schoolbook"/>
          <w:szCs w:val="22"/>
        </w:rPr>
        <w:t>alat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berat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seperti</w:t>
      </w:r>
      <w:proofErr w:type="spellEnd"/>
      <w:r w:rsidRPr="00D40C43">
        <w:rPr>
          <w:rFonts w:ascii="Century Schoolbook" w:hAnsi="Century Schoolbook"/>
          <w:szCs w:val="22"/>
        </w:rPr>
        <w:t xml:space="preserve"> UNTR. Selain </w:t>
      </w:r>
      <w:proofErr w:type="spellStart"/>
      <w:r w:rsidRPr="00D40C43">
        <w:rPr>
          <w:rFonts w:ascii="Century Schoolbook" w:hAnsi="Century Schoolbook"/>
          <w:szCs w:val="22"/>
        </w:rPr>
        <w:t>itu</w:t>
      </w:r>
      <w:proofErr w:type="spellEnd"/>
      <w:r w:rsidRPr="00D40C43">
        <w:rPr>
          <w:rFonts w:ascii="Century Schoolbook" w:hAnsi="Century Schoolbook"/>
          <w:szCs w:val="22"/>
        </w:rPr>
        <w:t xml:space="preserve">, </w:t>
      </w:r>
      <w:proofErr w:type="spellStart"/>
      <w:r w:rsidRPr="00D40C43">
        <w:rPr>
          <w:rFonts w:ascii="Century Schoolbook" w:hAnsi="Century Schoolbook"/>
          <w:szCs w:val="22"/>
        </w:rPr>
        <w:t>fluktuasi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nilai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tukar</w:t>
      </w:r>
      <w:proofErr w:type="spellEnd"/>
      <w:r w:rsidRPr="00D40C43">
        <w:rPr>
          <w:rFonts w:ascii="Century Schoolbook" w:hAnsi="Century Schoolbook"/>
          <w:szCs w:val="22"/>
        </w:rPr>
        <w:t xml:space="preserve"> dan </w:t>
      </w:r>
      <w:proofErr w:type="spellStart"/>
      <w:r w:rsidRPr="00D40C43">
        <w:rPr>
          <w:rFonts w:ascii="Century Schoolbook" w:hAnsi="Century Schoolbook"/>
          <w:szCs w:val="22"/>
        </w:rPr>
        <w:t>suku</w:t>
      </w:r>
      <w:proofErr w:type="spellEnd"/>
      <w:r w:rsidRPr="00D40C43">
        <w:rPr>
          <w:rFonts w:ascii="Century Schoolbook" w:hAnsi="Century Schoolbook"/>
          <w:szCs w:val="22"/>
        </w:rPr>
        <w:t xml:space="preserve"> bunga </w:t>
      </w:r>
      <w:proofErr w:type="spellStart"/>
      <w:r w:rsidRPr="00D40C43">
        <w:rPr>
          <w:rFonts w:ascii="Century Schoolbook" w:hAnsi="Century Schoolbook"/>
          <w:szCs w:val="22"/>
        </w:rPr>
        <w:t>acuan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berdampak</w:t>
      </w:r>
      <w:proofErr w:type="spellEnd"/>
      <w:r w:rsidRPr="00D40C43">
        <w:rPr>
          <w:rFonts w:ascii="Century Schoolbook" w:hAnsi="Century Schoolbook"/>
          <w:szCs w:val="22"/>
        </w:rPr>
        <w:t xml:space="preserve"> pada </w:t>
      </w:r>
      <w:proofErr w:type="spellStart"/>
      <w:r w:rsidRPr="00D40C43">
        <w:rPr>
          <w:rFonts w:ascii="Century Schoolbook" w:hAnsi="Century Schoolbook"/>
          <w:szCs w:val="22"/>
        </w:rPr>
        <w:t>biaya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operasional</w:t>
      </w:r>
      <w:proofErr w:type="spellEnd"/>
      <w:r w:rsidRPr="00D40C43">
        <w:rPr>
          <w:rFonts w:ascii="Century Schoolbook" w:hAnsi="Century Schoolbook"/>
          <w:szCs w:val="22"/>
        </w:rPr>
        <w:t xml:space="preserve">, </w:t>
      </w:r>
      <w:proofErr w:type="spellStart"/>
      <w:r w:rsidRPr="00D40C43">
        <w:rPr>
          <w:rFonts w:ascii="Century Schoolbook" w:hAnsi="Century Schoolbook"/>
          <w:szCs w:val="22"/>
        </w:rPr>
        <w:t>struktur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pembiayaan</w:t>
      </w:r>
      <w:proofErr w:type="spellEnd"/>
      <w:r w:rsidRPr="00D40C43">
        <w:rPr>
          <w:rFonts w:ascii="Century Schoolbook" w:hAnsi="Century Schoolbook"/>
          <w:szCs w:val="22"/>
        </w:rPr>
        <w:t xml:space="preserve">, </w:t>
      </w:r>
      <w:proofErr w:type="spellStart"/>
      <w:r w:rsidRPr="00D40C43">
        <w:rPr>
          <w:rFonts w:ascii="Century Schoolbook" w:hAnsi="Century Schoolbook"/>
          <w:szCs w:val="22"/>
        </w:rPr>
        <w:t>serta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keputusan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investasi</w:t>
      </w:r>
      <w:proofErr w:type="spellEnd"/>
      <w:r w:rsidRPr="00D40C43">
        <w:rPr>
          <w:rFonts w:ascii="Century Schoolbook" w:hAnsi="Century Schoolbook"/>
          <w:szCs w:val="22"/>
        </w:rPr>
        <w:t xml:space="preserve">, </w:t>
      </w:r>
      <w:proofErr w:type="spellStart"/>
      <w:r w:rsidRPr="00D40C43">
        <w:rPr>
          <w:rFonts w:ascii="Century Schoolbook" w:hAnsi="Century Schoolbook"/>
          <w:szCs w:val="22"/>
        </w:rPr>
        <w:t>sementara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pergerakan</w:t>
      </w:r>
      <w:proofErr w:type="spellEnd"/>
      <w:r w:rsidRPr="00D40C43">
        <w:rPr>
          <w:rFonts w:ascii="Century Schoolbook" w:hAnsi="Century Schoolbook"/>
          <w:szCs w:val="22"/>
        </w:rPr>
        <w:t xml:space="preserve"> IHSG </w:t>
      </w:r>
      <w:proofErr w:type="spellStart"/>
      <w:r w:rsidRPr="00D40C43">
        <w:rPr>
          <w:rFonts w:ascii="Century Schoolbook" w:hAnsi="Century Schoolbook"/>
          <w:szCs w:val="22"/>
        </w:rPr>
        <w:t>mencerminkan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sentimen</w:t>
      </w:r>
      <w:proofErr w:type="spellEnd"/>
      <w:r w:rsidRPr="00D40C43">
        <w:rPr>
          <w:rFonts w:ascii="Century Schoolbook" w:hAnsi="Century Schoolbook"/>
          <w:szCs w:val="22"/>
        </w:rPr>
        <w:t xml:space="preserve"> pasar </w:t>
      </w:r>
      <w:proofErr w:type="spellStart"/>
      <w:r w:rsidRPr="00D40C43">
        <w:rPr>
          <w:rFonts w:ascii="Century Schoolbook" w:hAnsi="Century Schoolbook"/>
          <w:szCs w:val="22"/>
        </w:rPr>
        <w:t>secara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agregat</w:t>
      </w:r>
      <w:proofErr w:type="spellEnd"/>
      <w:r w:rsidRPr="00D40C43">
        <w:rPr>
          <w:rFonts w:ascii="Century Schoolbook" w:hAnsi="Century Schoolbook"/>
          <w:szCs w:val="22"/>
        </w:rPr>
        <w:t xml:space="preserve"> (Hidayat &amp; Nugroho, 2024; Putra &amp; Setiawan, 2025).</w:t>
      </w:r>
    </w:p>
    <w:p w14:paraId="26027D3D" w14:textId="77777777" w:rsidR="00D40C43" w:rsidRDefault="00D340FB" w:rsidP="00D40C43">
      <w:pPr>
        <w:pStyle w:val="ListParagraph"/>
        <w:numPr>
          <w:ilvl w:val="0"/>
          <w:numId w:val="7"/>
        </w:numPr>
        <w:ind w:left="270" w:hanging="270"/>
        <w:jc w:val="both"/>
        <w:rPr>
          <w:rFonts w:ascii="Century Schoolbook" w:hAnsi="Century Schoolbook"/>
          <w:szCs w:val="22"/>
        </w:rPr>
      </w:pPr>
      <w:proofErr w:type="spellStart"/>
      <w:r w:rsidRPr="00752CFE">
        <w:rPr>
          <w:rFonts w:ascii="Century Schoolbook" w:hAnsi="Century Schoolbook"/>
          <w:szCs w:val="22"/>
        </w:rPr>
        <w:t>Variabel</w:t>
      </w:r>
      <w:proofErr w:type="spellEnd"/>
      <w:r w:rsidRPr="00752CFE">
        <w:rPr>
          <w:rFonts w:ascii="Century Schoolbook" w:hAnsi="Century Schoolbook"/>
          <w:szCs w:val="22"/>
        </w:rPr>
        <w:t xml:space="preserve"> Fundamental Perusahaan</w:t>
      </w:r>
    </w:p>
    <w:p w14:paraId="736A7BAA" w14:textId="488B565D" w:rsidR="00D340FB" w:rsidRPr="00752CFE" w:rsidRDefault="00D340FB" w:rsidP="00D40C43">
      <w:pPr>
        <w:pStyle w:val="ListParagraph"/>
        <w:ind w:left="270"/>
        <w:jc w:val="both"/>
        <w:rPr>
          <w:rFonts w:ascii="Century Schoolbook" w:hAnsi="Century Schoolbook"/>
          <w:szCs w:val="22"/>
        </w:rPr>
      </w:pPr>
      <w:proofErr w:type="spellStart"/>
      <w:r w:rsidRPr="00D40C43">
        <w:rPr>
          <w:rFonts w:ascii="Century Schoolbook" w:hAnsi="Century Schoolbook"/>
          <w:szCs w:val="22"/>
        </w:rPr>
        <w:t>Variabel</w:t>
      </w:r>
      <w:proofErr w:type="spellEnd"/>
      <w:r w:rsidRPr="00D40C43">
        <w:rPr>
          <w:rFonts w:ascii="Century Schoolbook" w:hAnsi="Century Schoolbook"/>
          <w:szCs w:val="22"/>
        </w:rPr>
        <w:t xml:space="preserve"> fundamental </w:t>
      </w:r>
      <w:proofErr w:type="spellStart"/>
      <w:r w:rsidRPr="00D40C43">
        <w:rPr>
          <w:rFonts w:ascii="Century Schoolbook" w:hAnsi="Century Schoolbook"/>
          <w:szCs w:val="22"/>
        </w:rPr>
        <w:t>perusahaan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terdiri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atas</w:t>
      </w:r>
      <w:proofErr w:type="spellEnd"/>
      <w:r w:rsidRPr="00D40C43">
        <w:rPr>
          <w:rFonts w:ascii="Century Schoolbook" w:hAnsi="Century Schoolbook"/>
          <w:szCs w:val="22"/>
        </w:rPr>
        <w:t xml:space="preserve"> Return on Equity (ROE), Debt to Equity Ratio (DER), dan </w:t>
      </w:r>
      <w:proofErr w:type="spellStart"/>
      <w:r w:rsidRPr="00D40C43">
        <w:rPr>
          <w:rFonts w:ascii="Century Schoolbook" w:hAnsi="Century Schoolbook"/>
          <w:szCs w:val="22"/>
        </w:rPr>
        <w:t>harga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saham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historis</w:t>
      </w:r>
      <w:proofErr w:type="spellEnd"/>
      <w:r w:rsidRPr="00D40C43">
        <w:rPr>
          <w:rFonts w:ascii="Century Schoolbook" w:hAnsi="Century Schoolbook"/>
          <w:szCs w:val="22"/>
        </w:rPr>
        <w:t xml:space="preserve"> UNTR (</w:t>
      </w:r>
      <w:proofErr w:type="spellStart"/>
      <w:r w:rsidRPr="00D40C43">
        <w:rPr>
          <w:rFonts w:ascii="Century Schoolbook" w:hAnsi="Century Schoolbook"/>
          <w:szCs w:val="22"/>
        </w:rPr>
        <w:t>UNTR_Price</w:t>
      </w:r>
      <w:proofErr w:type="spellEnd"/>
      <w:r w:rsidRPr="00D40C43">
        <w:rPr>
          <w:rFonts w:ascii="Century Schoolbook" w:hAnsi="Century Schoolbook"/>
          <w:szCs w:val="22"/>
        </w:rPr>
        <w:t xml:space="preserve">). ROE </w:t>
      </w:r>
      <w:proofErr w:type="spellStart"/>
      <w:r w:rsidRPr="00D40C43">
        <w:rPr>
          <w:rFonts w:ascii="Century Schoolbook" w:hAnsi="Century Schoolbook"/>
          <w:szCs w:val="22"/>
        </w:rPr>
        <w:t>digunakan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untuk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mengukur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kemampuan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perusahaan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dalam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menghasilkan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laba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bagi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pemegang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saham</w:t>
      </w:r>
      <w:proofErr w:type="spellEnd"/>
      <w:r w:rsidRPr="00D40C43">
        <w:rPr>
          <w:rFonts w:ascii="Century Schoolbook" w:hAnsi="Century Schoolbook"/>
          <w:szCs w:val="22"/>
        </w:rPr>
        <w:t xml:space="preserve">, </w:t>
      </w:r>
      <w:proofErr w:type="spellStart"/>
      <w:r w:rsidRPr="00D40C43">
        <w:rPr>
          <w:rFonts w:ascii="Century Schoolbook" w:hAnsi="Century Schoolbook"/>
          <w:szCs w:val="22"/>
        </w:rPr>
        <w:t>sedangkan</w:t>
      </w:r>
      <w:proofErr w:type="spellEnd"/>
      <w:r w:rsidRPr="00D40C43">
        <w:rPr>
          <w:rFonts w:ascii="Century Schoolbook" w:hAnsi="Century Schoolbook"/>
          <w:szCs w:val="22"/>
        </w:rPr>
        <w:t xml:space="preserve"> DER </w:t>
      </w:r>
      <w:proofErr w:type="spellStart"/>
      <w:r w:rsidRPr="00D40C43">
        <w:rPr>
          <w:rFonts w:ascii="Century Schoolbook" w:hAnsi="Century Schoolbook"/>
          <w:szCs w:val="22"/>
        </w:rPr>
        <w:t>mencerminkan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struktur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permodalan</w:t>
      </w:r>
      <w:proofErr w:type="spellEnd"/>
      <w:r w:rsidRPr="00D40C43">
        <w:rPr>
          <w:rFonts w:ascii="Century Schoolbook" w:hAnsi="Century Schoolbook"/>
          <w:szCs w:val="22"/>
        </w:rPr>
        <w:t xml:space="preserve"> dan </w:t>
      </w:r>
      <w:proofErr w:type="spellStart"/>
      <w:r w:rsidRPr="00D40C43">
        <w:rPr>
          <w:rFonts w:ascii="Century Schoolbook" w:hAnsi="Century Schoolbook"/>
          <w:szCs w:val="22"/>
        </w:rPr>
        <w:t>tingkat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risiko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keuangan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perusahaan</w:t>
      </w:r>
      <w:proofErr w:type="spellEnd"/>
      <w:r w:rsidRPr="00D40C43">
        <w:rPr>
          <w:rFonts w:ascii="Century Schoolbook" w:hAnsi="Century Schoolbook"/>
          <w:szCs w:val="22"/>
        </w:rPr>
        <w:t>. Rasio-</w:t>
      </w:r>
      <w:proofErr w:type="spellStart"/>
      <w:r w:rsidRPr="00D40C43">
        <w:rPr>
          <w:rFonts w:ascii="Century Schoolbook" w:hAnsi="Century Schoolbook"/>
          <w:szCs w:val="22"/>
        </w:rPr>
        <w:t>rasio</w:t>
      </w:r>
      <w:proofErr w:type="spellEnd"/>
      <w:r w:rsidRPr="00D40C43">
        <w:rPr>
          <w:rFonts w:ascii="Century Schoolbook" w:hAnsi="Century Schoolbook"/>
          <w:szCs w:val="22"/>
        </w:rPr>
        <w:t xml:space="preserve"> fundamental </w:t>
      </w:r>
      <w:proofErr w:type="spellStart"/>
      <w:r w:rsidRPr="00D40C43">
        <w:rPr>
          <w:rFonts w:ascii="Century Schoolbook" w:hAnsi="Century Schoolbook"/>
          <w:szCs w:val="22"/>
        </w:rPr>
        <w:t>tersebut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secara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teoritis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memengaruhi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persepsi</w:t>
      </w:r>
      <w:proofErr w:type="spellEnd"/>
      <w:r w:rsidRPr="00D40C43">
        <w:rPr>
          <w:rFonts w:ascii="Century Schoolbook" w:hAnsi="Century Schoolbook"/>
          <w:szCs w:val="22"/>
        </w:rPr>
        <w:t xml:space="preserve"> investor </w:t>
      </w:r>
      <w:proofErr w:type="spellStart"/>
      <w:r w:rsidRPr="00D40C43">
        <w:rPr>
          <w:rFonts w:ascii="Century Schoolbook" w:hAnsi="Century Schoolbook"/>
          <w:szCs w:val="22"/>
        </w:rPr>
        <w:t>terhadap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kinerja</w:t>
      </w:r>
      <w:proofErr w:type="spellEnd"/>
      <w:r w:rsidRPr="00D40C43">
        <w:rPr>
          <w:rFonts w:ascii="Century Schoolbook" w:hAnsi="Century Schoolbook"/>
          <w:szCs w:val="22"/>
        </w:rPr>
        <w:t xml:space="preserve"> dan </w:t>
      </w:r>
      <w:proofErr w:type="spellStart"/>
      <w:r w:rsidRPr="00D40C43">
        <w:rPr>
          <w:rFonts w:ascii="Century Schoolbook" w:hAnsi="Century Schoolbook"/>
          <w:szCs w:val="22"/>
        </w:rPr>
        <w:t>risiko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perusahaan</w:t>
      </w:r>
      <w:proofErr w:type="spellEnd"/>
      <w:r w:rsidRPr="00D40C43">
        <w:rPr>
          <w:rFonts w:ascii="Century Schoolbook" w:hAnsi="Century Schoolbook"/>
          <w:szCs w:val="22"/>
        </w:rPr>
        <w:t xml:space="preserve">, </w:t>
      </w:r>
      <w:proofErr w:type="spellStart"/>
      <w:r w:rsidRPr="00D40C43">
        <w:rPr>
          <w:rFonts w:ascii="Century Schoolbook" w:hAnsi="Century Schoolbook"/>
          <w:szCs w:val="22"/>
        </w:rPr>
        <w:t>sehingga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berdampak</w:t>
      </w:r>
      <w:proofErr w:type="spellEnd"/>
      <w:r w:rsidRPr="00D40C43">
        <w:rPr>
          <w:rFonts w:ascii="Century Schoolbook" w:hAnsi="Century Schoolbook"/>
          <w:szCs w:val="22"/>
        </w:rPr>
        <w:t xml:space="preserve"> pada </w:t>
      </w:r>
      <w:proofErr w:type="spellStart"/>
      <w:r w:rsidRPr="00D40C43">
        <w:rPr>
          <w:rFonts w:ascii="Century Schoolbook" w:hAnsi="Century Schoolbook"/>
          <w:szCs w:val="22"/>
        </w:rPr>
        <w:t>pergerakan</w:t>
      </w:r>
      <w:proofErr w:type="spellEnd"/>
      <w:r w:rsidRPr="00D40C43">
        <w:rPr>
          <w:rFonts w:ascii="Century Schoolbook" w:hAnsi="Century Schoolbook"/>
          <w:szCs w:val="22"/>
        </w:rPr>
        <w:t xml:space="preserve"> return </w:t>
      </w:r>
      <w:proofErr w:type="spellStart"/>
      <w:r w:rsidRPr="00D40C43">
        <w:rPr>
          <w:rFonts w:ascii="Century Schoolbook" w:hAnsi="Century Schoolbook"/>
          <w:szCs w:val="22"/>
        </w:rPr>
        <w:t>saham</w:t>
      </w:r>
      <w:proofErr w:type="spellEnd"/>
      <w:r w:rsidRPr="00D40C43">
        <w:rPr>
          <w:rFonts w:ascii="Century Schoolbook" w:hAnsi="Century Schoolbook"/>
          <w:szCs w:val="22"/>
        </w:rPr>
        <w:t xml:space="preserve">. Selain </w:t>
      </w:r>
      <w:proofErr w:type="spellStart"/>
      <w:r w:rsidRPr="00D40C43">
        <w:rPr>
          <w:rFonts w:ascii="Century Schoolbook" w:hAnsi="Century Schoolbook"/>
          <w:szCs w:val="22"/>
        </w:rPr>
        <w:t>itu</w:t>
      </w:r>
      <w:proofErr w:type="spellEnd"/>
      <w:r w:rsidRPr="00D40C43">
        <w:rPr>
          <w:rFonts w:ascii="Century Schoolbook" w:hAnsi="Century Schoolbook"/>
          <w:szCs w:val="22"/>
        </w:rPr>
        <w:t xml:space="preserve">, </w:t>
      </w:r>
      <w:proofErr w:type="spellStart"/>
      <w:r w:rsidRPr="00D40C43">
        <w:rPr>
          <w:rFonts w:ascii="Century Schoolbook" w:hAnsi="Century Schoolbook"/>
          <w:szCs w:val="22"/>
        </w:rPr>
        <w:t>harga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saham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historis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digunakan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untuk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menangkap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pola</w:t>
      </w:r>
      <w:proofErr w:type="spellEnd"/>
      <w:r w:rsidRPr="00D40C43">
        <w:rPr>
          <w:rFonts w:ascii="Century Schoolbook" w:hAnsi="Century Schoolbook"/>
          <w:szCs w:val="22"/>
        </w:rPr>
        <w:t xml:space="preserve"> dan </w:t>
      </w:r>
      <w:proofErr w:type="spellStart"/>
      <w:r w:rsidRPr="00D40C43">
        <w:rPr>
          <w:rFonts w:ascii="Century Schoolbook" w:hAnsi="Century Schoolbook"/>
          <w:szCs w:val="22"/>
        </w:rPr>
        <w:t>dinamika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pergerakan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harga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sebelumnya</w:t>
      </w:r>
      <w:proofErr w:type="spellEnd"/>
      <w:r w:rsidRPr="00D40C43">
        <w:rPr>
          <w:rFonts w:ascii="Century Schoolbook" w:hAnsi="Century Schoolbook"/>
          <w:szCs w:val="22"/>
        </w:rPr>
        <w:t xml:space="preserve"> yang </w:t>
      </w:r>
      <w:proofErr w:type="spellStart"/>
      <w:r w:rsidRPr="00D40C43">
        <w:rPr>
          <w:rFonts w:ascii="Century Schoolbook" w:hAnsi="Century Schoolbook"/>
          <w:szCs w:val="22"/>
        </w:rPr>
        <w:t>relevan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dalam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konteks</w:t>
      </w:r>
      <w:proofErr w:type="spellEnd"/>
      <w:r w:rsidRPr="00D40C43">
        <w:rPr>
          <w:rFonts w:ascii="Century Schoolbook" w:hAnsi="Century Schoolbook"/>
          <w:szCs w:val="22"/>
        </w:rPr>
        <w:t xml:space="preserve"> </w:t>
      </w:r>
      <w:proofErr w:type="spellStart"/>
      <w:r w:rsidRPr="00D40C43">
        <w:rPr>
          <w:rFonts w:ascii="Century Schoolbook" w:hAnsi="Century Schoolbook"/>
          <w:szCs w:val="22"/>
        </w:rPr>
        <w:t>prediksi</w:t>
      </w:r>
      <w:proofErr w:type="spellEnd"/>
      <w:r w:rsidRPr="00D40C43">
        <w:rPr>
          <w:rFonts w:ascii="Century Schoolbook" w:hAnsi="Century Schoolbook"/>
          <w:szCs w:val="22"/>
        </w:rPr>
        <w:t xml:space="preserve"> return </w:t>
      </w:r>
      <w:proofErr w:type="spellStart"/>
      <w:r w:rsidRPr="00D40C43">
        <w:rPr>
          <w:rFonts w:ascii="Century Schoolbook" w:hAnsi="Century Schoolbook"/>
          <w:szCs w:val="22"/>
        </w:rPr>
        <w:t>saham</w:t>
      </w:r>
      <w:proofErr w:type="spellEnd"/>
      <w:r w:rsidRPr="00D40C43">
        <w:rPr>
          <w:rFonts w:ascii="Century Schoolbook" w:hAnsi="Century Schoolbook"/>
          <w:szCs w:val="22"/>
        </w:rPr>
        <w:t xml:space="preserve"> (Rahman et al., 2023; Setiawan &amp; Hadiyanto, 2022).</w:t>
      </w:r>
    </w:p>
    <w:p w14:paraId="57172823" w14:textId="77777777" w:rsidR="00115E57" w:rsidRPr="00752CFE" w:rsidRDefault="00115E57" w:rsidP="00752CFE">
      <w:pPr>
        <w:spacing w:line="276" w:lineRule="auto"/>
        <w:jc w:val="both"/>
        <w:rPr>
          <w:rFonts w:ascii="Century Schoolbook" w:hAnsi="Century Schoolbook" w:cs="Times New Roman"/>
          <w:b/>
          <w:bCs/>
          <w:sz w:val="22"/>
          <w:szCs w:val="22"/>
          <w:lang w:val="sv-SE"/>
        </w:rPr>
      </w:pPr>
      <w:r w:rsidRPr="00752CFE">
        <w:rPr>
          <w:rFonts w:ascii="Century Schoolbook" w:hAnsi="Century Schoolbook" w:cs="Times New Roman"/>
          <w:b/>
          <w:bCs/>
          <w:sz w:val="22"/>
          <w:szCs w:val="22"/>
          <w:lang w:val="id-ID"/>
        </w:rPr>
        <w:t>2.</w:t>
      </w:r>
      <w:r w:rsidRPr="00752CFE">
        <w:rPr>
          <w:rFonts w:ascii="Century Schoolbook" w:hAnsi="Century Schoolbook" w:cs="Times New Roman"/>
          <w:b/>
          <w:bCs/>
          <w:sz w:val="22"/>
          <w:szCs w:val="22"/>
          <w:lang w:val="sv-SE"/>
        </w:rPr>
        <w:t>3 Metode Analisis Data</w:t>
      </w:r>
    </w:p>
    <w:p w14:paraId="2E6B9877" w14:textId="6850F30B" w:rsidR="00D340FB" w:rsidRPr="00D40C43" w:rsidRDefault="00D40C43" w:rsidP="00D40C43">
      <w:pPr>
        <w:spacing w:line="276" w:lineRule="auto"/>
        <w:jc w:val="both"/>
        <w:rPr>
          <w:rFonts w:ascii="Century Schoolbook" w:hAnsi="Century Schoolbook" w:cs="Times New Roman"/>
          <w:bCs/>
          <w:sz w:val="22"/>
          <w:szCs w:val="22"/>
          <w:lang w:val="sv-SE"/>
        </w:rPr>
      </w:pPr>
      <w:r w:rsidRPr="00D40C43">
        <w:rPr>
          <w:rFonts w:ascii="Century Schoolbook" w:hAnsi="Century Schoolbook" w:cs="Times New Roman"/>
          <w:bCs/>
          <w:sz w:val="22"/>
          <w:szCs w:val="22"/>
          <w:lang w:val="sv-SE"/>
        </w:rPr>
        <w:t xml:space="preserve">2.3.1 </w:t>
      </w:r>
      <w:r w:rsidR="00D340FB" w:rsidRPr="00D40C43">
        <w:rPr>
          <w:rFonts w:ascii="Century Schoolbook" w:hAnsi="Century Schoolbook" w:cs="Times New Roman"/>
          <w:bCs/>
          <w:sz w:val="22"/>
          <w:szCs w:val="22"/>
          <w:lang w:val="sv-SE"/>
        </w:rPr>
        <w:t>Pengolahan Data</w:t>
      </w:r>
    </w:p>
    <w:p w14:paraId="70C4C739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  <w:r w:rsidRPr="00752CFE">
        <w:rPr>
          <w:rFonts w:ascii="Century Schoolbook" w:hAnsi="Century Schoolbook"/>
          <w:sz w:val="22"/>
          <w:szCs w:val="22"/>
        </w:rPr>
        <w:t xml:space="preserve">Return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bulanan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PT United Tractors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Tbk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(UNTR)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dihitung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menggunakan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formula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berikut</w:t>
      </w:r>
      <w:proofErr w:type="spellEnd"/>
      <w:r w:rsidRPr="00752CFE">
        <w:rPr>
          <w:rFonts w:ascii="Century Schoolbook" w:hAnsi="Century Schoolbook"/>
          <w:sz w:val="22"/>
          <w:szCs w:val="22"/>
        </w:rPr>
        <w:t>:</w:t>
      </w:r>
    </w:p>
    <w:p w14:paraId="481BC62D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</w:p>
    <w:p w14:paraId="6C8E788C" w14:textId="77777777" w:rsidR="00D340FB" w:rsidRPr="00752CFE" w:rsidRDefault="00000000" w:rsidP="00752CFE">
      <w:pPr>
        <w:spacing w:line="276" w:lineRule="auto"/>
        <w:jc w:val="center"/>
        <w:rPr>
          <w:rFonts w:ascii="Century Schoolbook" w:hAnsi="Century Schoolbook" w:cs="Times New Roman"/>
          <w:sz w:val="22"/>
          <w:szCs w:val="22"/>
          <w:lang w:val="id-ID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Return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t</m:t>
                </m:r>
              </m:sub>
            </m:sSub>
            <m:r>
              <w:rPr>
                <w:rFonts w:ascii="Cambria Math" w:hAnsi="Cambria Math" w:cs="Times New Roman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t-1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t-1</m:t>
                </m:r>
              </m:sub>
            </m:sSub>
          </m:den>
        </m:f>
        <m:r>
          <w:rPr>
            <w:rFonts w:ascii="Cambria Math" w:hAnsi="Cambria Math" w:cs="Times New Roman"/>
            <w:sz w:val="22"/>
            <w:szCs w:val="22"/>
          </w:rPr>
          <m:t>×100%</m:t>
        </m:r>
      </m:oMath>
      <w:r w:rsidR="00D340FB" w:rsidRPr="00752CFE">
        <w:rPr>
          <w:rFonts w:ascii="Century Schoolbook" w:hAnsi="Century Schoolbook" w:cs="Times New Roman"/>
          <w:sz w:val="22"/>
          <w:szCs w:val="22"/>
        </w:rPr>
        <w:tab/>
      </w:r>
      <w:r w:rsidR="00D340FB" w:rsidRPr="00752CFE">
        <w:rPr>
          <w:rFonts w:ascii="Century Schoolbook" w:hAnsi="Century Schoolbook" w:cs="Times New Roman"/>
          <w:sz w:val="22"/>
          <w:szCs w:val="22"/>
        </w:rPr>
        <w:tab/>
      </w:r>
      <w:r w:rsidR="00D340FB" w:rsidRPr="00752CFE">
        <w:rPr>
          <w:rFonts w:ascii="Century Schoolbook" w:hAnsi="Century Schoolbook" w:cs="Times New Roman"/>
          <w:sz w:val="22"/>
          <w:szCs w:val="22"/>
        </w:rPr>
        <w:tab/>
      </w:r>
      <w:r w:rsidR="00D340FB" w:rsidRPr="00752CFE">
        <w:rPr>
          <w:rFonts w:ascii="Century Schoolbook" w:hAnsi="Century Schoolbook" w:cs="Times New Roman"/>
          <w:sz w:val="22"/>
          <w:szCs w:val="22"/>
          <w:lang w:val="id-ID"/>
        </w:rPr>
        <w:t>(1)</w:t>
      </w:r>
    </w:p>
    <w:p w14:paraId="30B388A6" w14:textId="77777777" w:rsidR="00D340FB" w:rsidRPr="00752CFE" w:rsidRDefault="00D340FB" w:rsidP="00752CFE">
      <w:pPr>
        <w:spacing w:line="276" w:lineRule="auto"/>
        <w:jc w:val="center"/>
        <w:rPr>
          <w:rFonts w:ascii="Century Schoolbook" w:hAnsi="Century Schoolbook" w:cs="Times New Roman"/>
          <w:sz w:val="22"/>
          <w:szCs w:val="22"/>
          <w:lang w:val="id-ID"/>
        </w:rPr>
      </w:pPr>
    </w:p>
    <w:p w14:paraId="728E1075" w14:textId="77777777" w:rsidR="00D340FB" w:rsidRPr="00D80348" w:rsidRDefault="00D340FB" w:rsidP="00752CFE">
      <w:pPr>
        <w:spacing w:before="100" w:beforeAutospacing="1" w:after="100" w:afterAutospacing="1" w:line="276" w:lineRule="auto"/>
        <w:jc w:val="both"/>
        <w:rPr>
          <w:rFonts w:ascii="Century Schoolbook" w:eastAsia="Times New Roman" w:hAnsi="Century Schoolbook" w:cs="Times New Roman"/>
          <w:sz w:val="22"/>
          <w:szCs w:val="22"/>
        </w:rPr>
      </w:pPr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di mana </w:t>
      </w:r>
      <w:proofErr w:type="spellStart"/>
      <w:r w:rsidRPr="00752CFE">
        <w:rPr>
          <w:rFonts w:ascii="Century Schoolbook" w:eastAsia="Times New Roman" w:hAnsi="Century Schoolbook" w:cs="Times New Roman"/>
          <w:sz w:val="22"/>
          <w:szCs w:val="22"/>
        </w:rPr>
        <w:t>PtP_tPt</w:t>
      </w:r>
      <w:proofErr w:type="spellEnd"/>
      <w:r w:rsidRPr="00752CFE">
        <w:rPr>
          <w:rFonts w:ascii="Times New Roman" w:eastAsia="Times New Roman" w:hAnsi="Times New Roman" w:cs="Times New Roman"/>
          <w:sz w:val="22"/>
          <w:szCs w:val="22"/>
        </w:rPr>
        <w:t>​</w:t>
      </w:r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merupakan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harga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saham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pada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periode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sz w:val="22"/>
          <w:szCs w:val="22"/>
        </w:rPr>
        <w:t>ttt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dan </w:t>
      </w:r>
      <w:r w:rsidRPr="00752CFE">
        <w:rPr>
          <w:rFonts w:ascii="Century Schoolbook" w:eastAsia="Times New Roman" w:hAnsi="Century Schoolbook" w:cs="Times New Roman"/>
          <w:sz w:val="22"/>
          <w:szCs w:val="22"/>
        </w:rPr>
        <w:t>Pt−1P_{t-</w:t>
      </w:r>
      <w:proofErr w:type="gramStart"/>
      <w:r w:rsidRPr="00752CFE">
        <w:rPr>
          <w:rFonts w:ascii="Century Schoolbook" w:eastAsia="Times New Roman" w:hAnsi="Century Schoolbook" w:cs="Times New Roman"/>
          <w:sz w:val="22"/>
          <w:szCs w:val="22"/>
        </w:rPr>
        <w:t>1}Pt</w:t>
      </w:r>
      <w:proofErr w:type="gramEnd"/>
      <w:r w:rsidRPr="00752CFE">
        <w:rPr>
          <w:rFonts w:ascii="Century Schoolbook" w:eastAsia="Times New Roman" w:hAnsi="Century Schoolbook" w:cs="Times New Roman"/>
          <w:sz w:val="22"/>
          <w:szCs w:val="22"/>
        </w:rPr>
        <w:t>−1</w:t>
      </w:r>
      <w:r w:rsidRPr="00752CFE">
        <w:rPr>
          <w:rFonts w:ascii="Times New Roman" w:eastAsia="Times New Roman" w:hAnsi="Times New Roman" w:cs="Times New Roman"/>
          <w:sz w:val="22"/>
          <w:szCs w:val="22"/>
        </w:rPr>
        <w:t>​</w:t>
      </w:r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merupakan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harga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saham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pada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periode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sebelumnya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.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Selanjutnya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dilakukan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pembentukan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variabel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lag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satu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periode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(lag-1)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untuk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seluruh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variabel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independen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guna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menangkap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efek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temporal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serta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mengurangi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potensi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simultanitas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.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Tahap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prapemrosesan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data juga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mencakup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penanganan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missing values dan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analisis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eksploratif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melalui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visualisasi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time series,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statistik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deskriptif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,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serta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matriks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korelasi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Pearson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untuk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mengidentifikasi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pola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hubungan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antar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variabel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dan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mendeteksi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potensi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multikolinearitas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>.</w:t>
      </w:r>
    </w:p>
    <w:p w14:paraId="4F1A55A2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</w:rPr>
      </w:pPr>
    </w:p>
    <w:p w14:paraId="40540EE1" w14:textId="0B490CC7" w:rsidR="00D340FB" w:rsidRPr="0025671A" w:rsidRDefault="0025671A" w:rsidP="0025671A">
      <w:pPr>
        <w:spacing w:line="276" w:lineRule="auto"/>
        <w:jc w:val="both"/>
        <w:rPr>
          <w:rFonts w:ascii="Century Schoolbook" w:hAnsi="Century Schoolbook" w:cs="Times New Roman"/>
          <w:bCs/>
          <w:sz w:val="22"/>
          <w:szCs w:val="22"/>
        </w:rPr>
      </w:pPr>
      <w:r w:rsidRPr="0025671A">
        <w:rPr>
          <w:rFonts w:ascii="Century Schoolbook" w:hAnsi="Century Schoolbook" w:cs="Times New Roman"/>
          <w:bCs/>
          <w:sz w:val="22"/>
          <w:szCs w:val="22"/>
        </w:rPr>
        <w:lastRenderedPageBreak/>
        <w:t xml:space="preserve">2.3.2 </w:t>
      </w:r>
      <w:proofErr w:type="spellStart"/>
      <w:r w:rsidR="00D340FB" w:rsidRPr="0025671A">
        <w:rPr>
          <w:rFonts w:ascii="Century Schoolbook" w:hAnsi="Century Schoolbook" w:cs="Times New Roman"/>
          <w:bCs/>
          <w:sz w:val="22"/>
          <w:szCs w:val="22"/>
        </w:rPr>
        <w:t>Pemodelan</w:t>
      </w:r>
      <w:proofErr w:type="spellEnd"/>
      <w:r w:rsidR="00D340FB" w:rsidRPr="0025671A">
        <w:rPr>
          <w:rFonts w:ascii="Century Schoolbook" w:hAnsi="Century Schoolbook" w:cs="Times New Roman"/>
          <w:bCs/>
          <w:sz w:val="22"/>
          <w:szCs w:val="22"/>
        </w:rPr>
        <w:t xml:space="preserve"> Machine Learning</w:t>
      </w:r>
    </w:p>
    <w:p w14:paraId="2EB918A4" w14:textId="77777777" w:rsidR="0025671A" w:rsidRDefault="00D340FB" w:rsidP="005569D8">
      <w:pPr>
        <w:pStyle w:val="NormalWeb"/>
        <w:spacing w:before="0" w:beforeAutospacing="0" w:after="240" w:afterAutospacing="0" w:line="276" w:lineRule="auto"/>
        <w:jc w:val="both"/>
        <w:rPr>
          <w:rFonts w:ascii="Century Schoolbook" w:hAnsi="Century Schoolbook"/>
          <w:sz w:val="22"/>
          <w:szCs w:val="22"/>
        </w:rPr>
      </w:pPr>
      <w:r w:rsidRPr="00752CFE">
        <w:rPr>
          <w:rFonts w:ascii="Century Schoolbook" w:hAnsi="Century Schoolbook"/>
          <w:sz w:val="22"/>
          <w:szCs w:val="22"/>
        </w:rPr>
        <w:t xml:space="preserve">Dalam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prediksi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return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diformulasikan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sebagai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masalah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klasifikasi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biner,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yaitu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arah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return </w:t>
      </w:r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naik</w:t>
      </w:r>
      <w:r w:rsidRPr="00752CFE">
        <w:rPr>
          <w:rFonts w:ascii="Century Schoolbook" w:hAnsi="Century Schoolbook"/>
          <w:b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atau</w:t>
      </w:r>
      <w:proofErr w:type="spellEnd"/>
      <w:r w:rsidRPr="00752CFE">
        <w:rPr>
          <w:rFonts w:ascii="Century Schoolbook" w:hAnsi="Century Schoolbook"/>
          <w:b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turun</w:t>
      </w:r>
      <w:proofErr w:type="spellEnd"/>
      <w:r w:rsidRPr="00752CFE">
        <w:rPr>
          <w:rFonts w:ascii="Century Schoolbook" w:hAnsi="Century Schoolbook"/>
          <w:b/>
          <w:sz w:val="22"/>
          <w:szCs w:val="22"/>
        </w:rPr>
        <w:t>,</w:t>
      </w:r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menggunakan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dua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algoritma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utama</w:t>
      </w:r>
      <w:proofErr w:type="spellEnd"/>
      <w:r w:rsidRPr="00752CFE">
        <w:rPr>
          <w:rFonts w:ascii="Century Schoolbook" w:hAnsi="Century Schoolbook"/>
          <w:sz w:val="22"/>
          <w:szCs w:val="22"/>
        </w:rPr>
        <w:t>.</w:t>
      </w:r>
    </w:p>
    <w:p w14:paraId="1CB2F7BA" w14:textId="77777777" w:rsidR="0025671A" w:rsidRDefault="00D340FB" w:rsidP="005569D8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270" w:hanging="270"/>
        <w:jc w:val="both"/>
        <w:rPr>
          <w:rFonts w:ascii="Century Schoolbook" w:hAnsi="Century Schoolbook"/>
          <w:sz w:val="22"/>
          <w:szCs w:val="22"/>
        </w:rPr>
      </w:pPr>
      <w:r w:rsidRPr="00752CFE">
        <w:rPr>
          <w:rFonts w:ascii="Century Schoolbook" w:hAnsi="Century Schoolbook"/>
          <w:sz w:val="22"/>
          <w:szCs w:val="22"/>
        </w:rPr>
        <w:t>Logistic Regression</w:t>
      </w:r>
    </w:p>
    <w:p w14:paraId="2E7DAFD2" w14:textId="1CE873E6" w:rsidR="00D340FB" w:rsidRPr="0025671A" w:rsidRDefault="00D340FB" w:rsidP="0025671A">
      <w:pPr>
        <w:pStyle w:val="NormalWeb"/>
        <w:spacing w:before="0" w:beforeAutospacing="0" w:line="276" w:lineRule="auto"/>
        <w:ind w:left="270"/>
        <w:jc w:val="both"/>
        <w:rPr>
          <w:rFonts w:ascii="Century Schoolbook" w:hAnsi="Century Schoolbook"/>
          <w:sz w:val="22"/>
          <w:szCs w:val="22"/>
        </w:rPr>
      </w:pPr>
      <w:r w:rsidRPr="0025671A">
        <w:rPr>
          <w:rFonts w:ascii="Century Schoolbook" w:hAnsi="Century Schoolbook"/>
          <w:sz w:val="22"/>
          <w:szCs w:val="22"/>
        </w:rPr>
        <w:t xml:space="preserve">Logistic Regression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digunakan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sebagai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 model baseline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untuk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mengestimasi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probabilitas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terjadinya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 return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positif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berdasarkan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variabel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independen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digunakan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. Model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ini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dirumuskan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sebagai</w:t>
      </w:r>
      <w:proofErr w:type="spellEnd"/>
      <w:r w:rsidRPr="0025671A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25671A">
        <w:rPr>
          <w:rFonts w:ascii="Century Schoolbook" w:hAnsi="Century Schoolbook"/>
          <w:sz w:val="22"/>
          <w:szCs w:val="22"/>
        </w:rPr>
        <w:t>berikut</w:t>
      </w:r>
      <w:proofErr w:type="spellEnd"/>
    </w:p>
    <w:p w14:paraId="26CED804" w14:textId="77777777" w:rsidR="00D340FB" w:rsidRPr="00752CFE" w:rsidRDefault="00D340FB" w:rsidP="00752CFE">
      <w:pPr>
        <w:spacing w:line="276" w:lineRule="auto"/>
        <w:jc w:val="center"/>
        <w:rPr>
          <w:rFonts w:ascii="Century Schoolbook" w:eastAsiaTheme="minorEastAsia" w:hAnsi="Century Schoolbook" w:cs="Times New Roman"/>
          <w:sz w:val="22"/>
          <w:szCs w:val="22"/>
          <w:lang w:val="id-ID"/>
        </w:rPr>
      </w:pPr>
      <m:oMath>
        <m:r>
          <w:rPr>
            <w:rFonts w:ascii="Cambria Math" w:hAnsi="Cambria Math" w:cs="Times New Roman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Y-1</m:t>
            </m:r>
          </m:e>
          <m:e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-(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p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)</m:t>
                </m:r>
              </m:sup>
            </m:sSup>
          </m:den>
        </m:f>
      </m:oMath>
      <w:r w:rsidRPr="00752CFE">
        <w:rPr>
          <w:rFonts w:ascii="Century Schoolbook" w:eastAsiaTheme="minorEastAsia" w:hAnsi="Century Schoolbook" w:cs="Times New Roman"/>
          <w:sz w:val="22"/>
          <w:szCs w:val="22"/>
        </w:rPr>
        <w:tab/>
      </w:r>
      <w:r w:rsidRPr="00752CFE">
        <w:rPr>
          <w:rFonts w:ascii="Century Schoolbook" w:eastAsiaTheme="minorEastAsia" w:hAnsi="Century Schoolbook" w:cs="Times New Roman"/>
          <w:sz w:val="22"/>
          <w:szCs w:val="22"/>
        </w:rPr>
        <w:tab/>
      </w:r>
      <w:r w:rsidRPr="00752CFE">
        <w:rPr>
          <w:rFonts w:ascii="Century Schoolbook" w:eastAsiaTheme="minorEastAsia" w:hAnsi="Century Schoolbook" w:cs="Times New Roman"/>
          <w:sz w:val="22"/>
          <w:szCs w:val="22"/>
          <w:lang w:val="id-ID"/>
        </w:rPr>
        <w:t>(2)</w:t>
      </w:r>
    </w:p>
    <w:p w14:paraId="3F6DAE4C" w14:textId="77777777" w:rsidR="005569D8" w:rsidRDefault="00D340FB" w:rsidP="005569D8">
      <w:pPr>
        <w:spacing w:line="276" w:lineRule="auto"/>
        <w:ind w:left="270"/>
        <w:rPr>
          <w:rFonts w:ascii="Century Schoolbook" w:hAnsi="Century Schoolbook"/>
          <w:sz w:val="22"/>
          <w:szCs w:val="22"/>
        </w:rPr>
      </w:pPr>
      <w:r w:rsidRPr="00752CFE">
        <w:rPr>
          <w:rFonts w:ascii="Century Schoolbook" w:hAnsi="Century Schoolbook"/>
          <w:sz w:val="22"/>
          <w:szCs w:val="22"/>
        </w:rPr>
        <w:t xml:space="preserve">Model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dipilih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karena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kemampuannya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memberikan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interpretasi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probabilistik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jelas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serta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sering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digunakan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sebagai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pembanding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awal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studi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prediksi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pasar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keuangan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>.</w:t>
      </w:r>
    </w:p>
    <w:p w14:paraId="0BA0293F" w14:textId="77777777" w:rsidR="005569D8" w:rsidRPr="005569D8" w:rsidRDefault="00D340FB" w:rsidP="005569D8">
      <w:pPr>
        <w:pStyle w:val="ListParagraph"/>
        <w:numPr>
          <w:ilvl w:val="0"/>
          <w:numId w:val="8"/>
        </w:numPr>
        <w:tabs>
          <w:tab w:val="left" w:pos="270"/>
        </w:tabs>
        <w:ind w:hanging="720"/>
        <w:rPr>
          <w:rFonts w:ascii="Century Schoolbook" w:eastAsiaTheme="minorEastAsia" w:hAnsi="Century Schoolbook"/>
          <w:szCs w:val="22"/>
          <w:lang w:val="id-ID"/>
        </w:rPr>
      </w:pPr>
      <w:proofErr w:type="spellStart"/>
      <w:r w:rsidRPr="005569D8">
        <w:rPr>
          <w:rFonts w:ascii="Century Schoolbook" w:hAnsi="Century Schoolbook"/>
          <w:szCs w:val="22"/>
        </w:rPr>
        <w:t>XGBoost</w:t>
      </w:r>
      <w:proofErr w:type="spellEnd"/>
    </w:p>
    <w:p w14:paraId="521A6C10" w14:textId="34D3004F" w:rsidR="00D340FB" w:rsidRPr="005569D8" w:rsidRDefault="005569D8" w:rsidP="005569D8">
      <w:pPr>
        <w:pStyle w:val="ListParagraph"/>
        <w:tabs>
          <w:tab w:val="left" w:pos="270"/>
        </w:tabs>
        <w:ind w:left="270"/>
        <w:jc w:val="both"/>
        <w:rPr>
          <w:rFonts w:ascii="Century Schoolbook" w:eastAsiaTheme="minorEastAsia" w:hAnsi="Century Schoolbook"/>
          <w:szCs w:val="22"/>
          <w:lang w:val="id-ID"/>
        </w:rPr>
      </w:pPr>
      <w:proofErr w:type="spellStart"/>
      <w:r>
        <w:rPr>
          <w:rFonts w:ascii="Century Schoolbook" w:hAnsi="Century Schoolbook"/>
          <w:szCs w:val="22"/>
        </w:rPr>
        <w:t>M</w:t>
      </w:r>
      <w:r w:rsidR="00D340FB" w:rsidRPr="005569D8">
        <w:rPr>
          <w:rFonts w:ascii="Century Schoolbook" w:hAnsi="Century Schoolbook"/>
          <w:szCs w:val="22"/>
        </w:rPr>
        <w:t>erupakan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algoritma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ensemble learning </w:t>
      </w:r>
      <w:proofErr w:type="spellStart"/>
      <w:r w:rsidR="00D340FB" w:rsidRPr="005569D8">
        <w:rPr>
          <w:rFonts w:ascii="Century Schoolbook" w:hAnsi="Century Schoolbook"/>
          <w:szCs w:val="22"/>
        </w:rPr>
        <w:t>berbasis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boosting yang </w:t>
      </w:r>
      <w:proofErr w:type="spellStart"/>
      <w:r w:rsidR="00D340FB" w:rsidRPr="005569D8">
        <w:rPr>
          <w:rFonts w:ascii="Century Schoolbook" w:hAnsi="Century Schoolbook"/>
          <w:szCs w:val="22"/>
        </w:rPr>
        <w:t>dirancang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untuk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menangkap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hubungan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non-linear dan </w:t>
      </w:r>
      <w:proofErr w:type="spellStart"/>
      <w:r w:rsidR="00D340FB" w:rsidRPr="005569D8">
        <w:rPr>
          <w:rFonts w:ascii="Century Schoolbook" w:hAnsi="Century Schoolbook"/>
          <w:szCs w:val="22"/>
        </w:rPr>
        <w:t>interaksi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kompleks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antar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variabel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. </w:t>
      </w:r>
      <w:proofErr w:type="spellStart"/>
      <w:r w:rsidR="00D340FB" w:rsidRPr="005569D8">
        <w:rPr>
          <w:rFonts w:ascii="Century Schoolbook" w:hAnsi="Century Schoolbook"/>
          <w:szCs w:val="22"/>
        </w:rPr>
        <w:t>Algoritma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ini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terbukti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efektif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dalam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konteks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prediksi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pasar </w:t>
      </w:r>
      <w:proofErr w:type="spellStart"/>
      <w:r w:rsidR="00D340FB" w:rsidRPr="005569D8">
        <w:rPr>
          <w:rFonts w:ascii="Century Schoolbook" w:hAnsi="Century Schoolbook"/>
          <w:szCs w:val="22"/>
        </w:rPr>
        <w:t>keuangan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karena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kemampuannya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menangani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data </w:t>
      </w:r>
      <w:proofErr w:type="spellStart"/>
      <w:r w:rsidR="00D340FB" w:rsidRPr="005569D8">
        <w:rPr>
          <w:rFonts w:ascii="Century Schoolbook" w:hAnsi="Century Schoolbook"/>
          <w:szCs w:val="22"/>
        </w:rPr>
        <w:t>berdimensi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tinggi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dan </w:t>
      </w:r>
      <w:proofErr w:type="spellStart"/>
      <w:r w:rsidR="00D340FB" w:rsidRPr="005569D8">
        <w:rPr>
          <w:rFonts w:ascii="Century Schoolbook" w:hAnsi="Century Schoolbook"/>
          <w:szCs w:val="22"/>
        </w:rPr>
        <w:t>pola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yang </w:t>
      </w:r>
      <w:proofErr w:type="spellStart"/>
      <w:r w:rsidR="00D340FB" w:rsidRPr="005569D8">
        <w:rPr>
          <w:rFonts w:ascii="Century Schoolbook" w:hAnsi="Century Schoolbook"/>
          <w:szCs w:val="22"/>
        </w:rPr>
        <w:t>tidak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linier </w:t>
      </w:r>
      <w:proofErr w:type="spellStart"/>
      <w:r w:rsidR="00D340FB" w:rsidRPr="005569D8">
        <w:rPr>
          <w:rFonts w:ascii="Century Schoolbook" w:hAnsi="Century Schoolbook"/>
          <w:szCs w:val="22"/>
        </w:rPr>
        <w:t>secara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efisien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(Teixeira &amp; Barbosa, 2025). Selain </w:t>
      </w:r>
      <w:proofErr w:type="spellStart"/>
      <w:r w:rsidR="00D340FB" w:rsidRPr="005569D8">
        <w:rPr>
          <w:rFonts w:ascii="Century Schoolbook" w:hAnsi="Century Schoolbook"/>
          <w:szCs w:val="22"/>
        </w:rPr>
        <w:t>menghasilkan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prediksi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arah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return, model </w:t>
      </w:r>
      <w:proofErr w:type="spellStart"/>
      <w:r w:rsidR="00D340FB" w:rsidRPr="005569D8">
        <w:rPr>
          <w:rFonts w:ascii="Century Schoolbook" w:hAnsi="Century Schoolbook"/>
          <w:szCs w:val="22"/>
        </w:rPr>
        <w:t>XGBoost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juga </w:t>
      </w:r>
      <w:proofErr w:type="spellStart"/>
      <w:r w:rsidR="00D340FB" w:rsidRPr="005569D8">
        <w:rPr>
          <w:rFonts w:ascii="Century Schoolbook" w:hAnsi="Century Schoolbook"/>
          <w:szCs w:val="22"/>
        </w:rPr>
        <w:t>menyediakan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informasi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feature importance yang </w:t>
      </w:r>
      <w:proofErr w:type="spellStart"/>
      <w:r w:rsidR="00D340FB" w:rsidRPr="005569D8">
        <w:rPr>
          <w:rFonts w:ascii="Century Schoolbook" w:hAnsi="Century Schoolbook"/>
          <w:szCs w:val="22"/>
        </w:rPr>
        <w:t>digunakan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untuk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mengidentifikasi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variabel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paling </w:t>
      </w:r>
      <w:proofErr w:type="spellStart"/>
      <w:r w:rsidR="00D340FB" w:rsidRPr="005569D8">
        <w:rPr>
          <w:rFonts w:ascii="Century Schoolbook" w:hAnsi="Century Schoolbook"/>
          <w:szCs w:val="22"/>
        </w:rPr>
        <w:t>berpengaruh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terhadap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pergerakan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return </w:t>
      </w:r>
      <w:proofErr w:type="spellStart"/>
      <w:r w:rsidR="00D340FB" w:rsidRPr="005569D8">
        <w:rPr>
          <w:rFonts w:ascii="Century Schoolbook" w:hAnsi="Century Schoolbook"/>
          <w:szCs w:val="22"/>
        </w:rPr>
        <w:t>saham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UNTR.Evaluasi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kinerja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model </w:t>
      </w:r>
      <w:proofErr w:type="spellStart"/>
      <w:r w:rsidR="00D340FB" w:rsidRPr="005569D8">
        <w:rPr>
          <w:rFonts w:ascii="Century Schoolbook" w:hAnsi="Century Schoolbook"/>
          <w:szCs w:val="22"/>
        </w:rPr>
        <w:t>dilakukan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menggunakan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metrik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akurasi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dengan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</w:t>
      </w:r>
      <w:proofErr w:type="spellStart"/>
      <w:r w:rsidR="00D340FB" w:rsidRPr="005569D8">
        <w:rPr>
          <w:rFonts w:ascii="Century Schoolbook" w:hAnsi="Century Schoolbook"/>
          <w:szCs w:val="22"/>
        </w:rPr>
        <w:t>pembagian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data </w:t>
      </w:r>
      <w:proofErr w:type="spellStart"/>
      <w:r w:rsidR="00D340FB" w:rsidRPr="005569D8">
        <w:rPr>
          <w:rFonts w:ascii="Century Schoolbook" w:hAnsi="Century Schoolbook"/>
          <w:szCs w:val="22"/>
        </w:rPr>
        <w:t>menjadi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data </w:t>
      </w:r>
      <w:proofErr w:type="spellStart"/>
      <w:r w:rsidR="00D340FB" w:rsidRPr="005569D8">
        <w:rPr>
          <w:rFonts w:ascii="Century Schoolbook" w:hAnsi="Century Schoolbook"/>
          <w:szCs w:val="22"/>
        </w:rPr>
        <w:t>pelatihan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(80%) dan data </w:t>
      </w:r>
      <w:proofErr w:type="spellStart"/>
      <w:r w:rsidR="00D340FB" w:rsidRPr="005569D8">
        <w:rPr>
          <w:rFonts w:ascii="Century Schoolbook" w:hAnsi="Century Schoolbook"/>
          <w:szCs w:val="22"/>
        </w:rPr>
        <w:t>pengujian</w:t>
      </w:r>
      <w:proofErr w:type="spellEnd"/>
      <w:r w:rsidR="00D340FB" w:rsidRPr="005569D8">
        <w:rPr>
          <w:rFonts w:ascii="Century Schoolbook" w:hAnsi="Century Schoolbook"/>
          <w:szCs w:val="22"/>
        </w:rPr>
        <w:t xml:space="preserve"> (20%).</w:t>
      </w:r>
    </w:p>
    <w:p w14:paraId="5AB093ED" w14:textId="77777777" w:rsidR="00D340FB" w:rsidRPr="00752CFE" w:rsidRDefault="00D340FB" w:rsidP="00752CFE">
      <w:pPr>
        <w:pStyle w:val="NormalWeb"/>
        <w:spacing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Perlu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dicatat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bahwa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tingkat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akurasi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prediksi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dalam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pasar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saham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secara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inheren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memiliki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keterbatasan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,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mengingat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sifat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pasar yang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cenderung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efisien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. Dalam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kerangka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Efficient Market Hypothesis (EMH),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harga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saham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merefleksikan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informasi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yang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tersedia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secara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cepat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,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sehingga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peluang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untuk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memperoleh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prediksi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dengan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akurasi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yang sangat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tinggi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menjadi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terbatas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. Oleh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karena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itu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,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hasil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prediksi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dalam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penelitian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ini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lebih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difokuskan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pada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identifikasi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pola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dan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kecenderungan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arah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return,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bukan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pada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pencapaian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akurasi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 xml:space="preserve"> </w:t>
      </w:r>
      <w:proofErr w:type="spellStart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absolut</w:t>
      </w:r>
      <w:proofErr w:type="spellEnd"/>
      <w:r w:rsidRPr="00752CFE">
        <w:rPr>
          <w:rStyle w:val="Strong"/>
          <w:rFonts w:ascii="Century Schoolbook" w:hAnsi="Century Schoolbook"/>
          <w:b w:val="0"/>
          <w:sz w:val="22"/>
          <w:szCs w:val="22"/>
        </w:rPr>
        <w:t>.</w:t>
      </w:r>
    </w:p>
    <w:p w14:paraId="4327DD70" w14:textId="0C3F326F" w:rsidR="00D340FB" w:rsidRPr="005569D8" w:rsidRDefault="005569D8" w:rsidP="00752CFE">
      <w:pPr>
        <w:spacing w:line="276" w:lineRule="auto"/>
        <w:jc w:val="both"/>
        <w:rPr>
          <w:rFonts w:ascii="Century Schoolbook" w:hAnsi="Century Schoolbook" w:cs="Times New Roman"/>
          <w:bCs/>
          <w:sz w:val="22"/>
          <w:szCs w:val="22"/>
          <w:lang w:val="sv-SE"/>
        </w:rPr>
      </w:pPr>
      <w:r w:rsidRPr="005569D8">
        <w:rPr>
          <w:rFonts w:ascii="Century Schoolbook" w:hAnsi="Century Schoolbook" w:cs="Times New Roman"/>
          <w:bCs/>
          <w:sz w:val="22"/>
          <w:szCs w:val="22"/>
          <w:lang w:val="sv-SE"/>
        </w:rPr>
        <w:t xml:space="preserve">2.3.3 </w:t>
      </w:r>
      <w:r w:rsidR="00D340FB" w:rsidRPr="005569D8">
        <w:rPr>
          <w:rFonts w:ascii="Century Schoolbook" w:hAnsi="Century Schoolbook" w:cs="Times New Roman"/>
          <w:bCs/>
          <w:sz w:val="22"/>
          <w:szCs w:val="22"/>
          <w:lang w:val="sv-SE"/>
        </w:rPr>
        <w:t>Analisis Vector Autoregression (VAR)</w:t>
      </w:r>
    </w:p>
    <w:p w14:paraId="6B66F291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/>
          <w:sz w:val="22"/>
          <w:szCs w:val="22"/>
        </w:rPr>
      </w:pPr>
      <w:r w:rsidRPr="00752CFE">
        <w:rPr>
          <w:rFonts w:ascii="Century Schoolbook" w:hAnsi="Century Schoolbook"/>
          <w:sz w:val="22"/>
          <w:szCs w:val="22"/>
        </w:rPr>
        <w:t xml:space="preserve">Model Vector Autoregression (VAR)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digunakan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untuk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hubungan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dinamis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simultan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antar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makroekonomi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fundamental. VAR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memperlakukan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seluruh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sistem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sebagai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endogen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saling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memengaruhi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(Novita &amp;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Nachrowi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2005). Model VAR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orde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Style w:val="katex-mathml"/>
          <w:rFonts w:ascii="Century Schoolbook" w:hAnsi="Century Schoolbook"/>
          <w:sz w:val="22"/>
          <w:szCs w:val="22"/>
        </w:rPr>
        <w:t>pp</w:t>
      </w:r>
      <w:r w:rsidRPr="00752CFE">
        <w:rPr>
          <w:rStyle w:val="mord"/>
          <w:rFonts w:ascii="Century Schoolbook" w:hAnsi="Century Schoolbook"/>
          <w:sz w:val="22"/>
          <w:szCs w:val="22"/>
        </w:rPr>
        <w:t>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dirumuskan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sebagai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berikut</w:t>
      </w:r>
      <w:proofErr w:type="spellEnd"/>
    </w:p>
    <w:p w14:paraId="67749F8E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</w:rPr>
      </w:pPr>
    </w:p>
    <w:p w14:paraId="001A0699" w14:textId="77777777" w:rsidR="00D340FB" w:rsidRPr="00752CFE" w:rsidRDefault="00000000" w:rsidP="00752CFE">
      <w:pPr>
        <w:spacing w:line="276" w:lineRule="auto"/>
        <w:jc w:val="center"/>
        <w:rPr>
          <w:rFonts w:ascii="Century Schoolbook" w:eastAsiaTheme="minorEastAsia" w:hAnsi="Century Schoolbook" w:cs="Times New Roman"/>
          <w:sz w:val="22"/>
          <w:szCs w:val="22"/>
          <w:lang w:val="id-ID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sv-SE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Y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t</m:t>
            </m:r>
          </m:sub>
        </m:sSub>
        <m:r>
          <w:rPr>
            <w:rFonts w:ascii="Cambria Math" w:hAnsi="Cambria Math" w:cs="Times New Roman"/>
            <w:sz w:val="22"/>
            <w:szCs w:val="22"/>
            <w:lang w:val="sv-SE"/>
          </w:rPr>
          <m:t>=c+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sv-SE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A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sv-SE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Y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t-1</m:t>
            </m:r>
          </m:sub>
        </m:sSub>
        <m:r>
          <w:rPr>
            <w:rFonts w:ascii="Cambria Math" w:hAnsi="Cambria Math" w:cs="Times New Roman"/>
            <w:sz w:val="22"/>
            <w:szCs w:val="22"/>
            <w:lang w:val="sv-SE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sv-SE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A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sv-SE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Y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t-2</m:t>
            </m:r>
          </m:sub>
        </m:sSub>
        <m:r>
          <w:rPr>
            <w:rFonts w:ascii="Cambria Math" w:hAnsi="Cambria Math" w:cs="Times New Roman"/>
            <w:sz w:val="22"/>
            <w:szCs w:val="22"/>
            <w:lang w:val="sv-SE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sv-SE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A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p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sv-SE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Y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t-p</m:t>
            </m:r>
          </m:sub>
        </m:sSub>
        <m:r>
          <w:rPr>
            <w:rFonts w:ascii="Cambria Math" w:hAnsi="Cambria Math" w:cs="Times New Roman"/>
            <w:sz w:val="22"/>
            <w:szCs w:val="22"/>
            <w:lang w:val="sv-SE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sv-SE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ε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lang w:val="sv-SE"/>
              </w:rPr>
              <m:t>t</m:t>
            </m:r>
          </m:sub>
        </m:sSub>
      </m:oMath>
      <w:r w:rsidR="00D340FB" w:rsidRPr="00752CFE">
        <w:rPr>
          <w:rFonts w:ascii="Century Schoolbook" w:eastAsiaTheme="minorEastAsia" w:hAnsi="Century Schoolbook" w:cs="Times New Roman"/>
          <w:sz w:val="22"/>
          <w:szCs w:val="22"/>
          <w:lang w:val="sv-SE"/>
        </w:rPr>
        <w:tab/>
      </w:r>
      <w:r w:rsidR="00D340FB" w:rsidRPr="00752CFE">
        <w:rPr>
          <w:rFonts w:ascii="Century Schoolbook" w:eastAsiaTheme="minorEastAsia" w:hAnsi="Century Schoolbook" w:cs="Times New Roman"/>
          <w:sz w:val="22"/>
          <w:szCs w:val="22"/>
          <w:lang w:val="sv-SE"/>
        </w:rPr>
        <w:tab/>
      </w:r>
      <w:r w:rsidR="00D340FB" w:rsidRPr="00752CFE">
        <w:rPr>
          <w:rFonts w:ascii="Century Schoolbook" w:eastAsiaTheme="minorEastAsia" w:hAnsi="Century Schoolbook" w:cs="Times New Roman"/>
          <w:sz w:val="22"/>
          <w:szCs w:val="22"/>
          <w:lang w:val="id-ID"/>
        </w:rPr>
        <w:t>(3)</w:t>
      </w:r>
    </w:p>
    <w:p w14:paraId="017BC04D" w14:textId="77777777" w:rsidR="00D340FB" w:rsidRPr="00752CFE" w:rsidRDefault="00D340FB" w:rsidP="00752CFE">
      <w:pPr>
        <w:spacing w:line="276" w:lineRule="auto"/>
        <w:jc w:val="center"/>
        <w:rPr>
          <w:rFonts w:ascii="Century Schoolbook" w:eastAsiaTheme="minorEastAsia" w:hAnsi="Century Schoolbook" w:cs="Times New Roman"/>
          <w:sz w:val="22"/>
          <w:szCs w:val="22"/>
          <w:lang w:val="id-ID"/>
        </w:rPr>
      </w:pPr>
    </w:p>
    <w:p w14:paraId="038CFD9B" w14:textId="77777777" w:rsidR="00D340FB" w:rsidRPr="00D80348" w:rsidRDefault="00D340FB" w:rsidP="005569D8">
      <w:pPr>
        <w:spacing w:before="100" w:beforeAutospacing="1" w:line="276" w:lineRule="auto"/>
        <w:jc w:val="both"/>
        <w:rPr>
          <w:rFonts w:ascii="Century Schoolbook" w:eastAsia="Times New Roman" w:hAnsi="Century Schoolbook" w:cs="Times New Roman"/>
          <w:sz w:val="22"/>
          <w:szCs w:val="22"/>
        </w:rPr>
      </w:pP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lastRenderedPageBreak/>
        <w:t>Penentuan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lag optimal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dilakukan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menggunakan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Akaike Information Criterion (AIC).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Tahapan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analisis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VAR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meliputi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>:</w:t>
      </w:r>
    </w:p>
    <w:p w14:paraId="52E9C490" w14:textId="77777777" w:rsidR="00D340FB" w:rsidRPr="00D80348" w:rsidRDefault="00D340FB" w:rsidP="005569D8">
      <w:pPr>
        <w:numPr>
          <w:ilvl w:val="0"/>
          <w:numId w:val="2"/>
        </w:numPr>
        <w:tabs>
          <w:tab w:val="clear" w:pos="720"/>
          <w:tab w:val="num" w:pos="540"/>
        </w:tabs>
        <w:spacing w:after="100" w:afterAutospacing="1" w:line="276" w:lineRule="auto"/>
        <w:ind w:left="270" w:hanging="270"/>
        <w:jc w:val="both"/>
        <w:rPr>
          <w:rFonts w:ascii="Century Schoolbook" w:eastAsia="Times New Roman" w:hAnsi="Century Schoolbook" w:cs="Times New Roman"/>
          <w:sz w:val="22"/>
          <w:szCs w:val="22"/>
        </w:rPr>
      </w:pPr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Uji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stasioneritas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menggunakan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Augmented Dickey-Fuller (ADF) test</w:t>
      </w:r>
    </w:p>
    <w:p w14:paraId="6D26AFA3" w14:textId="77777777" w:rsidR="00D340FB" w:rsidRPr="00D80348" w:rsidRDefault="00D340FB" w:rsidP="005569D8">
      <w:pPr>
        <w:numPr>
          <w:ilvl w:val="0"/>
          <w:numId w:val="2"/>
        </w:numPr>
        <w:tabs>
          <w:tab w:val="clear" w:pos="720"/>
          <w:tab w:val="num" w:pos="540"/>
        </w:tabs>
        <w:spacing w:before="100" w:beforeAutospacing="1" w:after="100" w:afterAutospacing="1" w:line="276" w:lineRule="auto"/>
        <w:ind w:left="270" w:hanging="270"/>
        <w:jc w:val="both"/>
        <w:rPr>
          <w:rFonts w:ascii="Century Schoolbook" w:eastAsia="Times New Roman" w:hAnsi="Century Schoolbook" w:cs="Times New Roman"/>
          <w:sz w:val="22"/>
          <w:szCs w:val="22"/>
        </w:rPr>
      </w:pP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Estimasi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koefisien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VAR</w:t>
      </w:r>
    </w:p>
    <w:p w14:paraId="002CEC91" w14:textId="77777777" w:rsidR="00D340FB" w:rsidRPr="00D80348" w:rsidRDefault="00D340FB" w:rsidP="005569D8">
      <w:pPr>
        <w:numPr>
          <w:ilvl w:val="0"/>
          <w:numId w:val="2"/>
        </w:numPr>
        <w:tabs>
          <w:tab w:val="clear" w:pos="720"/>
          <w:tab w:val="num" w:pos="540"/>
        </w:tabs>
        <w:spacing w:before="100" w:beforeAutospacing="1" w:after="100" w:afterAutospacing="1" w:line="276" w:lineRule="auto"/>
        <w:ind w:left="270" w:hanging="270"/>
        <w:jc w:val="both"/>
        <w:rPr>
          <w:rFonts w:ascii="Century Schoolbook" w:eastAsia="Times New Roman" w:hAnsi="Century Schoolbook" w:cs="Times New Roman"/>
          <w:sz w:val="22"/>
          <w:szCs w:val="22"/>
        </w:rPr>
      </w:pPr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Forecast Error Variance Decomposition (FEVD)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untuk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mengidentifikasi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kontribusi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relatif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setiap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variabel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terhadap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volatilitas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sistem</w:t>
      </w:r>
      <w:proofErr w:type="spellEnd"/>
    </w:p>
    <w:p w14:paraId="567C1CF7" w14:textId="77777777" w:rsidR="00D340FB" w:rsidRPr="00752CFE" w:rsidRDefault="00D340FB" w:rsidP="005569D8">
      <w:pPr>
        <w:numPr>
          <w:ilvl w:val="0"/>
          <w:numId w:val="2"/>
        </w:numPr>
        <w:tabs>
          <w:tab w:val="clear" w:pos="720"/>
          <w:tab w:val="num" w:pos="540"/>
        </w:tabs>
        <w:spacing w:before="100" w:beforeAutospacing="1" w:after="100" w:afterAutospacing="1" w:line="276" w:lineRule="auto"/>
        <w:ind w:left="270" w:hanging="270"/>
        <w:jc w:val="both"/>
        <w:rPr>
          <w:rFonts w:ascii="Century Schoolbook" w:eastAsia="Times New Roman" w:hAnsi="Century Schoolbook" w:cs="Times New Roman"/>
          <w:sz w:val="22"/>
          <w:szCs w:val="22"/>
        </w:rPr>
      </w:pPr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Impulse Response Function (IRF)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untuk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menganalisis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respons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dinamis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variabel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terhadap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</w:t>
      </w:r>
      <w:proofErr w:type="spellStart"/>
      <w:r w:rsidRPr="00D80348">
        <w:rPr>
          <w:rFonts w:ascii="Century Schoolbook" w:eastAsia="Times New Roman" w:hAnsi="Century Schoolbook" w:cs="Times New Roman"/>
          <w:sz w:val="22"/>
          <w:szCs w:val="22"/>
        </w:rPr>
        <w:t>suatu</w:t>
      </w:r>
      <w:proofErr w:type="spellEnd"/>
      <w:r w:rsidRPr="00D80348">
        <w:rPr>
          <w:rFonts w:ascii="Century Schoolbook" w:eastAsia="Times New Roman" w:hAnsi="Century Schoolbook" w:cs="Times New Roman"/>
          <w:sz w:val="22"/>
          <w:szCs w:val="22"/>
        </w:rPr>
        <w:t xml:space="preserve"> shock</w:t>
      </w:r>
    </w:p>
    <w:p w14:paraId="7270029A" w14:textId="6651B4A9" w:rsidR="00D340FB" w:rsidRPr="005569D8" w:rsidRDefault="005569D8" w:rsidP="005569D8">
      <w:pPr>
        <w:spacing w:line="276" w:lineRule="auto"/>
        <w:jc w:val="both"/>
        <w:rPr>
          <w:rFonts w:ascii="Century Schoolbook" w:hAnsi="Century Schoolbook" w:cs="Times New Roman"/>
          <w:bCs/>
          <w:sz w:val="22"/>
          <w:szCs w:val="22"/>
          <w:lang w:val="sv-SE"/>
        </w:rPr>
      </w:pPr>
      <w:r w:rsidRPr="005569D8">
        <w:rPr>
          <w:rFonts w:ascii="Century Schoolbook" w:hAnsi="Century Schoolbook" w:cs="Times New Roman"/>
          <w:bCs/>
          <w:sz w:val="22"/>
          <w:szCs w:val="22"/>
          <w:lang w:val="sv-SE"/>
        </w:rPr>
        <w:t xml:space="preserve">2.3.4 </w:t>
      </w:r>
      <w:r w:rsidR="00D340FB" w:rsidRPr="005569D8">
        <w:rPr>
          <w:rFonts w:ascii="Century Schoolbook" w:hAnsi="Century Schoolbook" w:cs="Times New Roman"/>
          <w:bCs/>
          <w:sz w:val="22"/>
          <w:szCs w:val="22"/>
          <w:lang w:val="sv-SE"/>
        </w:rPr>
        <w:t>Analisis Risiko Investasi</w:t>
      </w:r>
    </w:p>
    <w:p w14:paraId="23D6DFC1" w14:textId="77777777" w:rsidR="005569D8" w:rsidRDefault="00D340FB" w:rsidP="00752CFE">
      <w:pPr>
        <w:pStyle w:val="font-claude-response-body"/>
        <w:numPr>
          <w:ilvl w:val="0"/>
          <w:numId w:val="9"/>
        </w:numPr>
        <w:spacing w:before="0" w:beforeAutospacing="0" w:after="0" w:afterAutospacing="0" w:line="276" w:lineRule="auto"/>
        <w:ind w:left="270" w:hanging="270"/>
        <w:jc w:val="both"/>
        <w:rPr>
          <w:rFonts w:ascii="Century Schoolbook" w:hAnsi="Century Schoolbook"/>
          <w:b/>
          <w:sz w:val="22"/>
          <w:szCs w:val="22"/>
          <w:lang w:val="sv-SE"/>
        </w:rPr>
      </w:pPr>
      <w:r w:rsidRPr="00752CFE">
        <w:rPr>
          <w:rStyle w:val="Strong"/>
          <w:rFonts w:ascii="Century Schoolbook" w:eastAsiaTheme="majorEastAsia" w:hAnsi="Century Schoolbook"/>
          <w:b w:val="0"/>
          <w:sz w:val="22"/>
          <w:szCs w:val="22"/>
          <w:lang w:val="sv-SE"/>
        </w:rPr>
        <w:t>Value at Risk (VaR)</w:t>
      </w:r>
      <w:r w:rsidRPr="00752CFE">
        <w:rPr>
          <w:rFonts w:ascii="Century Schoolbook" w:hAnsi="Century Schoolbook"/>
          <w:b/>
          <w:sz w:val="22"/>
          <w:szCs w:val="22"/>
          <w:lang w:val="sv-SE"/>
        </w:rPr>
        <w:t xml:space="preserve"> </w:t>
      </w:r>
    </w:p>
    <w:p w14:paraId="575E49EB" w14:textId="0771625B" w:rsidR="00D340FB" w:rsidRPr="005569D8" w:rsidRDefault="00D340FB" w:rsidP="005569D8">
      <w:pPr>
        <w:pStyle w:val="font-claude-response-body"/>
        <w:spacing w:before="0" w:beforeAutospacing="0" w:after="0" w:afterAutospacing="0" w:line="276" w:lineRule="auto"/>
        <w:ind w:left="270"/>
        <w:jc w:val="both"/>
        <w:rPr>
          <w:rFonts w:ascii="Century Schoolbook" w:hAnsi="Century Schoolbook"/>
          <w:b/>
          <w:sz w:val="22"/>
          <w:szCs w:val="22"/>
          <w:lang w:val="sv-SE"/>
        </w:rPr>
      </w:pPr>
      <w:r w:rsidRPr="005569D8">
        <w:rPr>
          <w:rFonts w:ascii="Century Schoolbook" w:hAnsi="Century Schoolbook"/>
          <w:sz w:val="22"/>
          <w:szCs w:val="22"/>
        </w:rPr>
        <w:t>Value at Risk (</w:t>
      </w:r>
      <w:proofErr w:type="spellStart"/>
      <w:r w:rsidRPr="005569D8">
        <w:rPr>
          <w:rFonts w:ascii="Century Schoolbook" w:hAnsi="Century Schoolbook"/>
          <w:sz w:val="22"/>
          <w:szCs w:val="22"/>
        </w:rPr>
        <w:t>VaR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)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digunakan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untuk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mengukur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potensi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kerugian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maksimum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tingkat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kepercayaan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95%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dengan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pendekatan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parametrik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sebagai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berikut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(Anam et al., 2020):</w:t>
      </w:r>
    </w:p>
    <w:p w14:paraId="3F6FC8DB" w14:textId="77777777" w:rsidR="005569D8" w:rsidRDefault="00000000" w:rsidP="005569D8">
      <w:pPr>
        <w:pStyle w:val="font-claude-response-body"/>
        <w:spacing w:line="276" w:lineRule="auto"/>
        <w:jc w:val="center"/>
        <w:rPr>
          <w:rFonts w:ascii="Century Schoolbook" w:hAnsi="Century Schoolbook"/>
          <w:sz w:val="22"/>
          <w:szCs w:val="22"/>
          <w:lang w:val="id-ID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sv-SE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sv-SE"/>
              </w:rPr>
              <m:t>VaR</m:t>
            </m:r>
          </m:e>
          <m:sub>
            <m:r>
              <w:rPr>
                <w:rFonts w:ascii="Cambria Math" w:hAnsi="Cambria Math"/>
                <w:sz w:val="22"/>
                <w:szCs w:val="22"/>
                <w:lang w:val="sv-SE"/>
              </w:rPr>
              <m:t>95%</m:t>
            </m:r>
          </m:sub>
        </m:sSub>
        <m:r>
          <w:rPr>
            <w:rFonts w:ascii="Cambria Math" w:hAnsi="Cambria Math"/>
            <w:sz w:val="22"/>
            <w:szCs w:val="22"/>
            <w:lang w:val="sv-SE"/>
          </w:rPr>
          <m:t>=μ-1645×σ</m:t>
        </m:r>
      </m:oMath>
      <w:r w:rsidR="00D340FB" w:rsidRPr="00752CFE">
        <w:rPr>
          <w:rFonts w:ascii="Century Schoolbook" w:hAnsi="Century Schoolbook"/>
          <w:sz w:val="22"/>
          <w:szCs w:val="22"/>
          <w:lang w:val="sv-SE"/>
        </w:rPr>
        <w:tab/>
      </w:r>
      <w:r w:rsidR="00D340FB" w:rsidRPr="00752CFE">
        <w:rPr>
          <w:rFonts w:ascii="Century Schoolbook" w:hAnsi="Century Schoolbook"/>
          <w:sz w:val="22"/>
          <w:szCs w:val="22"/>
          <w:lang w:val="sv-SE"/>
        </w:rPr>
        <w:tab/>
      </w:r>
      <w:r w:rsidR="00D340FB" w:rsidRPr="00752CFE">
        <w:rPr>
          <w:rFonts w:ascii="Century Schoolbook" w:hAnsi="Century Schoolbook"/>
          <w:sz w:val="22"/>
          <w:szCs w:val="22"/>
          <w:lang w:val="id-ID"/>
        </w:rPr>
        <w:t>(4)</w:t>
      </w:r>
    </w:p>
    <w:p w14:paraId="4BFA3066" w14:textId="2140E29B" w:rsidR="00D340FB" w:rsidRPr="005569D8" w:rsidRDefault="00D340FB" w:rsidP="005569D8">
      <w:pPr>
        <w:pStyle w:val="font-claude-response-body"/>
        <w:spacing w:after="0" w:afterAutospacing="0" w:line="276" w:lineRule="auto"/>
        <w:ind w:left="270"/>
        <w:rPr>
          <w:rFonts w:ascii="Century Schoolbook" w:hAnsi="Century Schoolbook"/>
          <w:sz w:val="22"/>
          <w:szCs w:val="22"/>
          <w:lang w:val="id-ID"/>
        </w:rPr>
      </w:pPr>
      <w:r w:rsidRPr="00752CFE">
        <w:rPr>
          <w:rFonts w:ascii="Century Schoolbook" w:hAnsi="Century Schoolbook"/>
          <w:sz w:val="22"/>
          <w:szCs w:val="22"/>
        </w:rPr>
        <w:t xml:space="preserve">di mana </w:t>
      </w:r>
      <w:r w:rsidRPr="00752CFE">
        <w:rPr>
          <w:rStyle w:val="katex-mathml"/>
          <w:rFonts w:ascii="Century Schoolbook" w:hAnsi="Century Schoolbook"/>
          <w:sz w:val="22"/>
          <w:szCs w:val="22"/>
        </w:rPr>
        <w:t>μ\</w:t>
      </w:r>
      <w:proofErr w:type="spellStart"/>
      <w:r w:rsidRPr="00752CFE">
        <w:rPr>
          <w:rStyle w:val="katex-mathml"/>
          <w:rFonts w:ascii="Century Schoolbook" w:hAnsi="Century Schoolbook"/>
          <w:sz w:val="22"/>
          <w:szCs w:val="22"/>
        </w:rPr>
        <w:t>mu</w:t>
      </w:r>
      <w:r w:rsidRPr="00752CFE">
        <w:rPr>
          <w:rStyle w:val="mord"/>
          <w:rFonts w:ascii="Century Schoolbook" w:hAnsi="Century Schoolbook"/>
          <w:sz w:val="22"/>
          <w:szCs w:val="22"/>
        </w:rPr>
        <w:t>μ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merupakan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rata-rata return dan </w:t>
      </w:r>
      <w:r w:rsidRPr="00752CFE">
        <w:rPr>
          <w:rStyle w:val="katex-mathml"/>
          <w:rFonts w:ascii="Century Schoolbook" w:hAnsi="Century Schoolbook"/>
          <w:sz w:val="22"/>
          <w:szCs w:val="22"/>
        </w:rPr>
        <w:t>σ\</w:t>
      </w:r>
      <w:proofErr w:type="spellStart"/>
      <w:r w:rsidRPr="00752CFE">
        <w:rPr>
          <w:rStyle w:val="katex-mathml"/>
          <w:rFonts w:ascii="Century Schoolbook" w:hAnsi="Century Schoolbook"/>
          <w:sz w:val="22"/>
          <w:szCs w:val="22"/>
        </w:rPr>
        <w:t>sigma</w:t>
      </w:r>
      <w:r w:rsidRPr="00752CFE">
        <w:rPr>
          <w:rStyle w:val="mord"/>
          <w:rFonts w:ascii="Century Schoolbook" w:hAnsi="Century Schoolbook"/>
          <w:sz w:val="22"/>
          <w:szCs w:val="22"/>
        </w:rPr>
        <w:t>σ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merupakan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standar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deviasi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return.</w:t>
      </w:r>
    </w:p>
    <w:p w14:paraId="15E5AF37" w14:textId="77777777" w:rsidR="005569D8" w:rsidRDefault="00D340FB" w:rsidP="005569D8">
      <w:pPr>
        <w:pStyle w:val="font-claude-response-body"/>
        <w:numPr>
          <w:ilvl w:val="0"/>
          <w:numId w:val="9"/>
        </w:numPr>
        <w:spacing w:before="0" w:beforeAutospacing="0" w:after="0" w:afterAutospacing="0" w:line="276" w:lineRule="auto"/>
        <w:ind w:left="270" w:hanging="270"/>
        <w:jc w:val="both"/>
        <w:rPr>
          <w:rFonts w:ascii="Century Schoolbook" w:hAnsi="Century Schoolbook"/>
          <w:sz w:val="22"/>
          <w:szCs w:val="22"/>
          <w:lang w:val="it-IT"/>
        </w:rPr>
      </w:pPr>
      <w:r w:rsidRPr="00752CFE">
        <w:rPr>
          <w:rFonts w:ascii="Century Schoolbook" w:hAnsi="Century Schoolbook"/>
          <w:bCs/>
          <w:sz w:val="22"/>
          <w:szCs w:val="22"/>
          <w:lang w:val="it-IT"/>
        </w:rPr>
        <w:t>Maximum Drawdown (MDD)</w:t>
      </w:r>
      <w:r w:rsidRPr="00752CFE">
        <w:rPr>
          <w:rFonts w:ascii="Century Schoolbook" w:hAnsi="Century Schoolbook"/>
          <w:sz w:val="22"/>
          <w:szCs w:val="22"/>
          <w:lang w:val="it-IT"/>
        </w:rPr>
        <w:t xml:space="preserve"> </w:t>
      </w:r>
    </w:p>
    <w:p w14:paraId="4E2DCE8B" w14:textId="39EB6099" w:rsidR="00D340FB" w:rsidRPr="005569D8" w:rsidRDefault="00D340FB" w:rsidP="005569D8">
      <w:pPr>
        <w:pStyle w:val="font-claude-response-body"/>
        <w:spacing w:before="0" w:beforeAutospacing="0" w:line="276" w:lineRule="auto"/>
        <w:ind w:left="270"/>
        <w:jc w:val="both"/>
        <w:rPr>
          <w:rFonts w:ascii="Century Schoolbook" w:hAnsi="Century Schoolbook"/>
          <w:sz w:val="22"/>
          <w:szCs w:val="22"/>
          <w:lang w:val="it-IT"/>
        </w:rPr>
      </w:pPr>
      <w:r w:rsidRPr="005569D8">
        <w:rPr>
          <w:rFonts w:ascii="Century Schoolbook" w:hAnsi="Century Schoolbook"/>
          <w:sz w:val="22"/>
          <w:szCs w:val="22"/>
        </w:rPr>
        <w:t xml:space="preserve">Maximum Drawdown (MDD)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digunakan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untuk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mengukur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penurunan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nilai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investasi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terbesar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dari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titik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puncak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ke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titik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terendah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dalam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periode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pengamatan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, yang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dirumuskan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sebagai</w:t>
      </w:r>
      <w:proofErr w:type="spellEnd"/>
      <w:r w:rsidRPr="005569D8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5569D8">
        <w:rPr>
          <w:rFonts w:ascii="Century Schoolbook" w:hAnsi="Century Schoolbook"/>
          <w:sz w:val="22"/>
          <w:szCs w:val="22"/>
        </w:rPr>
        <w:t>berikut</w:t>
      </w:r>
      <w:proofErr w:type="spellEnd"/>
    </w:p>
    <w:p w14:paraId="4E599318" w14:textId="77777777" w:rsidR="00752CFE" w:rsidRPr="00752CFE" w:rsidRDefault="00D340FB" w:rsidP="00752CFE">
      <w:pPr>
        <w:pStyle w:val="font-claude-response-body"/>
        <w:spacing w:line="276" w:lineRule="auto"/>
        <w:ind w:right="-94"/>
        <w:jc w:val="center"/>
        <w:rPr>
          <w:rFonts w:ascii="Century Schoolbook" w:hAnsi="Century Schoolbook"/>
          <w:sz w:val="22"/>
          <w:szCs w:val="22"/>
          <w:lang w:val="id-ID"/>
        </w:rPr>
      </w:pPr>
      <m:oMath>
        <m:r>
          <w:rPr>
            <w:rFonts w:ascii="Cambria Math" w:hAnsi="Cambria Math"/>
            <w:sz w:val="22"/>
            <w:szCs w:val="22"/>
            <w:lang w:val="sv-SE"/>
          </w:rPr>
          <m:t>MDD=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sv-SE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sv-SE"/>
              </w:rPr>
              <m:t>Trough Value-Peak Value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sv-SE"/>
              </w:rPr>
              <m:t>Peak Value</m:t>
            </m:r>
          </m:den>
        </m:f>
        <m:r>
          <w:rPr>
            <w:rFonts w:ascii="Cambria Math" w:hAnsi="Cambria Math"/>
            <w:sz w:val="22"/>
            <w:szCs w:val="22"/>
            <w:lang w:val="sv-SE"/>
          </w:rPr>
          <m:t>×100%</m:t>
        </m:r>
      </m:oMath>
      <w:r w:rsidRPr="00752CFE">
        <w:rPr>
          <w:rFonts w:ascii="Century Schoolbook" w:hAnsi="Century Schoolbook"/>
          <w:sz w:val="22"/>
          <w:szCs w:val="22"/>
          <w:lang w:val="sv-SE"/>
        </w:rPr>
        <w:tab/>
      </w:r>
      <w:r w:rsidRPr="00752CFE">
        <w:rPr>
          <w:rFonts w:ascii="Century Schoolbook" w:hAnsi="Century Schoolbook"/>
          <w:sz w:val="22"/>
          <w:szCs w:val="22"/>
          <w:lang w:val="sv-SE"/>
        </w:rPr>
        <w:tab/>
      </w:r>
      <w:r w:rsidRPr="00752CFE">
        <w:rPr>
          <w:rFonts w:ascii="Century Schoolbook" w:hAnsi="Century Schoolbook"/>
          <w:sz w:val="22"/>
          <w:szCs w:val="22"/>
          <w:lang w:val="id-ID"/>
        </w:rPr>
        <w:t>(5)</w:t>
      </w:r>
    </w:p>
    <w:p w14:paraId="5D6CEF6F" w14:textId="77777777" w:rsidR="00115E57" w:rsidRPr="00752CFE" w:rsidRDefault="00115E57" w:rsidP="005569D8">
      <w:pPr>
        <w:pStyle w:val="font-claude-response-body"/>
        <w:spacing w:after="0" w:afterAutospacing="0" w:line="276" w:lineRule="auto"/>
        <w:ind w:right="-94"/>
        <w:jc w:val="both"/>
        <w:rPr>
          <w:rFonts w:ascii="Century Schoolbook" w:hAnsi="Century Schoolbook"/>
          <w:b/>
          <w:bCs/>
          <w:sz w:val="22"/>
          <w:szCs w:val="22"/>
          <w:lang w:val="sv-SE"/>
        </w:rPr>
      </w:pPr>
      <w:r w:rsidRPr="00752CFE">
        <w:rPr>
          <w:rFonts w:ascii="Century Schoolbook" w:hAnsi="Century Schoolbook"/>
          <w:b/>
          <w:bCs/>
          <w:sz w:val="22"/>
          <w:szCs w:val="22"/>
          <w:lang w:val="id-ID"/>
        </w:rPr>
        <w:t>2.</w:t>
      </w:r>
      <w:r w:rsidRPr="00752CFE">
        <w:rPr>
          <w:rFonts w:ascii="Century Schoolbook" w:hAnsi="Century Schoolbook"/>
          <w:b/>
          <w:bCs/>
          <w:sz w:val="22"/>
          <w:szCs w:val="22"/>
          <w:lang w:val="sv-SE"/>
        </w:rPr>
        <w:t>4 Alat Analisis</w:t>
      </w:r>
    </w:p>
    <w:p w14:paraId="372A6EDC" w14:textId="77777777" w:rsidR="00D340FB" w:rsidRPr="00752CFE" w:rsidRDefault="00D340FB" w:rsidP="00B737B3">
      <w:pPr>
        <w:pStyle w:val="font-claude-response-body"/>
        <w:spacing w:before="0" w:beforeAutospacing="0" w:line="276" w:lineRule="auto"/>
        <w:ind w:right="-94"/>
        <w:jc w:val="both"/>
        <w:rPr>
          <w:rFonts w:ascii="Century Schoolbook" w:hAnsi="Century Schoolbook"/>
          <w:sz w:val="22"/>
          <w:szCs w:val="22"/>
          <w:lang w:val="sv-SE"/>
        </w:rPr>
      </w:pPr>
      <w:r w:rsidRPr="00752CFE">
        <w:rPr>
          <w:rFonts w:ascii="Century Schoolbook" w:hAnsi="Century Schoolbook"/>
          <w:sz w:val="22"/>
          <w:szCs w:val="22"/>
          <w:lang w:val="sv-SE"/>
        </w:rPr>
        <w:t xml:space="preserve">Analisis dilakukan menggunakan Python 3.x (library: scikit-learn, XGBoost, pandas, numpy, statsmodels) untuk implementasi </w:t>
      </w:r>
      <w:r w:rsidRPr="00752CFE">
        <w:rPr>
          <w:rFonts w:ascii="Century Schoolbook" w:hAnsi="Century Schoolbook"/>
          <w:i/>
          <w:iCs/>
          <w:sz w:val="22"/>
          <w:szCs w:val="22"/>
          <w:lang w:val="sv-SE"/>
        </w:rPr>
        <w:t>machine learning</w:t>
      </w:r>
      <w:r w:rsidRPr="00752CFE">
        <w:rPr>
          <w:rFonts w:ascii="Century Schoolbook" w:hAnsi="Century Schoolbook"/>
          <w:sz w:val="22"/>
          <w:szCs w:val="22"/>
          <w:lang w:val="sv-SE"/>
        </w:rPr>
        <w:t xml:space="preserve"> dan VAR, serta Matplotlib/Seaborn untuk visualisasi data.</w:t>
      </w:r>
    </w:p>
    <w:p w14:paraId="71EBB939" w14:textId="77777777" w:rsidR="00F870A4" w:rsidRPr="00752CFE" w:rsidRDefault="005F0013" w:rsidP="00752CFE">
      <w:pPr>
        <w:spacing w:after="120" w:line="276" w:lineRule="auto"/>
        <w:jc w:val="both"/>
        <w:rPr>
          <w:rFonts w:ascii="Century Schoolbook" w:eastAsia="Century Schoolbook" w:hAnsi="Century Schoolbook" w:cs="Century Schoolbook"/>
          <w:b/>
          <w:sz w:val="22"/>
          <w:szCs w:val="22"/>
        </w:rPr>
      </w:pPr>
      <w:r w:rsidRPr="00752CFE">
        <w:rPr>
          <w:rFonts w:ascii="Century Schoolbook" w:eastAsia="Century Schoolbook" w:hAnsi="Century Schoolbook" w:cs="Century Schoolbook"/>
          <w:b/>
          <w:sz w:val="22"/>
          <w:szCs w:val="22"/>
        </w:rPr>
        <w:t xml:space="preserve">3.  HASIL DAN PEMBAHASAN </w:t>
      </w:r>
    </w:p>
    <w:p w14:paraId="7B2DAE99" w14:textId="77777777" w:rsidR="00115E57" w:rsidRPr="00752CFE" w:rsidRDefault="003A7D79" w:rsidP="00752CFE">
      <w:pPr>
        <w:spacing w:line="276" w:lineRule="auto"/>
        <w:jc w:val="both"/>
        <w:rPr>
          <w:rFonts w:ascii="Century Schoolbook" w:hAnsi="Century Schoolbook" w:cs="Times New Roman"/>
          <w:b/>
          <w:bCs/>
          <w:sz w:val="22"/>
          <w:szCs w:val="22"/>
          <w:lang w:val="sv-SE"/>
        </w:rPr>
      </w:pPr>
      <w:r w:rsidRPr="00752CFE">
        <w:rPr>
          <w:rFonts w:ascii="Century Schoolbook" w:hAnsi="Century Schoolbook" w:cs="Times New Roman"/>
          <w:b/>
          <w:bCs/>
          <w:sz w:val="22"/>
          <w:szCs w:val="22"/>
          <w:lang w:val="id-ID"/>
        </w:rPr>
        <w:t>3.</w:t>
      </w:r>
      <w:r w:rsidRPr="00752CFE">
        <w:rPr>
          <w:rFonts w:ascii="Century Schoolbook" w:hAnsi="Century Schoolbook" w:cs="Times New Roman"/>
          <w:b/>
          <w:bCs/>
          <w:sz w:val="22"/>
          <w:szCs w:val="22"/>
          <w:lang w:val="sv-SE"/>
        </w:rPr>
        <w:t>1</w:t>
      </w:r>
      <w:r w:rsidR="00115E57" w:rsidRPr="00752CFE">
        <w:rPr>
          <w:rFonts w:ascii="Century Schoolbook" w:hAnsi="Century Schoolbook" w:cs="Times New Roman"/>
          <w:b/>
          <w:bCs/>
          <w:sz w:val="22"/>
          <w:szCs w:val="22"/>
          <w:lang w:val="sv-SE"/>
        </w:rPr>
        <w:t xml:space="preserve"> Pengolahan Data dan Pembentukan Variabel</w:t>
      </w:r>
    </w:p>
    <w:p w14:paraId="22901D31" w14:textId="77777777" w:rsidR="00D340FB" w:rsidRDefault="00D340FB" w:rsidP="00752CFE">
      <w:pPr>
        <w:pStyle w:val="NormalWeb"/>
        <w:spacing w:before="0" w:beforeAutospacing="0"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Tahap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awal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difokuskan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pembentukan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turunan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berupa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return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bulanan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dan IHSG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dihitung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dari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perubahan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bulan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berjalan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terhadap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bulan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sebelumnya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Prosedur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bertujuan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menghilangkan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tren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menghasilkan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lebih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stasioner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untuk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lanjutan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Contoh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lima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observasi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awal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hasil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perhitungan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return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disajikan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Tabel 1.</w:t>
      </w:r>
    </w:p>
    <w:p w14:paraId="5399803E" w14:textId="77777777" w:rsidR="005569D8" w:rsidRPr="00752CFE" w:rsidRDefault="005569D8" w:rsidP="00752CFE">
      <w:pPr>
        <w:pStyle w:val="NormalWeb"/>
        <w:spacing w:before="0" w:beforeAutospacing="0" w:line="276" w:lineRule="auto"/>
        <w:jc w:val="both"/>
        <w:rPr>
          <w:rFonts w:ascii="Century Schoolbook" w:hAnsi="Century Schoolbook"/>
          <w:sz w:val="22"/>
          <w:szCs w:val="22"/>
        </w:rPr>
      </w:pPr>
    </w:p>
    <w:p w14:paraId="0DBCB326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it-IT"/>
        </w:rPr>
      </w:pPr>
    </w:p>
    <w:p w14:paraId="1B31842F" w14:textId="77777777" w:rsidR="00D340FB" w:rsidRPr="00752CFE" w:rsidRDefault="00D340FB" w:rsidP="00752CFE">
      <w:pPr>
        <w:spacing w:line="276" w:lineRule="auto"/>
        <w:jc w:val="center"/>
        <w:rPr>
          <w:rFonts w:ascii="Century Schoolbook" w:hAnsi="Century Schoolbook" w:cs="Times New Roman"/>
          <w:b/>
          <w:bCs/>
          <w:sz w:val="20"/>
          <w:szCs w:val="20"/>
          <w:lang w:val="id-ID"/>
        </w:rPr>
      </w:pPr>
      <w:r w:rsidRPr="00752CFE">
        <w:rPr>
          <w:rFonts w:ascii="Century Schoolbook" w:hAnsi="Century Schoolbook" w:cs="Times New Roman"/>
          <w:b/>
          <w:bCs/>
          <w:sz w:val="20"/>
          <w:szCs w:val="20"/>
          <w:lang w:val="it-IT"/>
        </w:rPr>
        <w:t xml:space="preserve">Tabel 1. </w:t>
      </w:r>
      <w:r w:rsidRPr="00752CFE">
        <w:rPr>
          <w:rFonts w:ascii="Century Schoolbook" w:hAnsi="Century Schoolbook" w:cs="Times New Roman"/>
          <w:bCs/>
          <w:sz w:val="20"/>
          <w:szCs w:val="20"/>
          <w:lang w:val="id-ID"/>
        </w:rPr>
        <w:t>Validasi Data</w:t>
      </w:r>
    </w:p>
    <w:tbl>
      <w:tblPr>
        <w:tblW w:w="747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418"/>
        <w:gridCol w:w="1677"/>
        <w:gridCol w:w="1080"/>
        <w:gridCol w:w="1620"/>
      </w:tblGrid>
      <w:tr w:rsidR="00D340FB" w:rsidRPr="00752CFE" w14:paraId="7BE48C8C" w14:textId="77777777" w:rsidTr="00307594">
        <w:trPr>
          <w:trHeight w:val="305"/>
          <w:jc w:val="center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  <w:hideMark/>
          </w:tcPr>
          <w:p w14:paraId="55A8CE92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Periode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4809AC87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UNTRPrice</w:t>
            </w:r>
            <w:proofErr w:type="spellEnd"/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  <w:hideMark/>
          </w:tcPr>
          <w:p w14:paraId="362C89B1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ReturnUNTR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  <w:hideMark/>
          </w:tcPr>
          <w:p w14:paraId="65AB0C30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IHSG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  <w:hideMark/>
          </w:tcPr>
          <w:p w14:paraId="6DFF72D0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ReturnIHSG</w:t>
            </w:r>
            <w:proofErr w:type="spellEnd"/>
          </w:p>
        </w:tc>
      </w:tr>
      <w:tr w:rsidR="00D340FB" w:rsidRPr="00752CFE" w14:paraId="3DDE40B0" w14:textId="77777777" w:rsidTr="00307594">
        <w:trPr>
          <w:trHeight w:val="290"/>
          <w:jc w:val="center"/>
        </w:trPr>
        <w:tc>
          <w:tcPr>
            <w:tcW w:w="1675" w:type="dxa"/>
            <w:tcBorders>
              <w:bottom w:val="nil"/>
            </w:tcBorders>
            <w:vAlign w:val="center"/>
            <w:hideMark/>
          </w:tcPr>
          <w:p w14:paraId="09F0C1C9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01/01/2015</w:t>
            </w:r>
          </w:p>
        </w:tc>
        <w:tc>
          <w:tcPr>
            <w:tcW w:w="1418" w:type="dxa"/>
            <w:tcBorders>
              <w:bottom w:val="nil"/>
            </w:tcBorders>
            <w:vAlign w:val="center"/>
            <w:hideMark/>
          </w:tcPr>
          <w:p w14:paraId="7446F749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18100</w:t>
            </w:r>
          </w:p>
        </w:tc>
        <w:tc>
          <w:tcPr>
            <w:tcW w:w="1677" w:type="dxa"/>
            <w:tcBorders>
              <w:bottom w:val="nil"/>
            </w:tcBorders>
            <w:vAlign w:val="center"/>
            <w:hideMark/>
          </w:tcPr>
          <w:p w14:paraId="61899F5B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NaN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  <w:vAlign w:val="center"/>
            <w:hideMark/>
          </w:tcPr>
          <w:p w14:paraId="77B35F5D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4455.18</w:t>
            </w:r>
          </w:p>
        </w:tc>
        <w:tc>
          <w:tcPr>
            <w:tcW w:w="1620" w:type="dxa"/>
            <w:tcBorders>
              <w:bottom w:val="nil"/>
            </w:tcBorders>
            <w:vAlign w:val="center"/>
            <w:hideMark/>
          </w:tcPr>
          <w:p w14:paraId="375E75E9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NaN</w:t>
            </w:r>
            <w:proofErr w:type="spellEnd"/>
          </w:p>
        </w:tc>
      </w:tr>
      <w:tr w:rsidR="00D340FB" w:rsidRPr="00752CFE" w14:paraId="733B676A" w14:textId="77777777" w:rsidTr="00307594">
        <w:trPr>
          <w:trHeight w:val="323"/>
          <w:jc w:val="center"/>
        </w:trPr>
        <w:tc>
          <w:tcPr>
            <w:tcW w:w="1675" w:type="dxa"/>
            <w:tcBorders>
              <w:top w:val="nil"/>
              <w:bottom w:val="nil"/>
            </w:tcBorders>
            <w:vAlign w:val="center"/>
            <w:hideMark/>
          </w:tcPr>
          <w:p w14:paraId="12648000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01/02/2015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  <w:hideMark/>
          </w:tcPr>
          <w:p w14:paraId="348F2E3B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17475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  <w:hideMark/>
          </w:tcPr>
          <w:p w14:paraId="73ED6A0B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-0.034530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  <w:hideMark/>
          </w:tcPr>
          <w:p w14:paraId="760A1550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4223.91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  <w:hideMark/>
          </w:tcPr>
          <w:p w14:paraId="7BE09EDC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-0.051910</w:t>
            </w:r>
          </w:p>
        </w:tc>
      </w:tr>
      <w:tr w:rsidR="00D340FB" w:rsidRPr="00752CFE" w14:paraId="7CCD66CC" w14:textId="77777777" w:rsidTr="00307594">
        <w:trPr>
          <w:trHeight w:val="260"/>
          <w:jc w:val="center"/>
        </w:trPr>
        <w:tc>
          <w:tcPr>
            <w:tcW w:w="1675" w:type="dxa"/>
            <w:tcBorders>
              <w:top w:val="nil"/>
              <w:bottom w:val="nil"/>
            </w:tcBorders>
            <w:vAlign w:val="center"/>
            <w:hideMark/>
          </w:tcPr>
          <w:p w14:paraId="48FB3356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01/03/2015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  <w:hideMark/>
          </w:tcPr>
          <w:p w14:paraId="67ED3E62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19125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  <w:hideMark/>
          </w:tcPr>
          <w:p w14:paraId="137F3522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0.094421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  <w:hideMark/>
          </w:tcPr>
          <w:p w14:paraId="122612AD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4509.61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  <w:hideMark/>
          </w:tcPr>
          <w:p w14:paraId="59A72899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0.067639</w:t>
            </w:r>
          </w:p>
        </w:tc>
      </w:tr>
      <w:tr w:rsidR="00D340FB" w:rsidRPr="00752CFE" w14:paraId="115BB8ED" w14:textId="77777777" w:rsidTr="00307594">
        <w:trPr>
          <w:trHeight w:val="260"/>
          <w:jc w:val="center"/>
        </w:trPr>
        <w:tc>
          <w:tcPr>
            <w:tcW w:w="1675" w:type="dxa"/>
            <w:tcBorders>
              <w:top w:val="nil"/>
              <w:bottom w:val="nil"/>
            </w:tcBorders>
            <w:vAlign w:val="center"/>
            <w:hideMark/>
          </w:tcPr>
          <w:p w14:paraId="6EED8B8E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01/04/2015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  <w:hideMark/>
          </w:tcPr>
          <w:p w14:paraId="2A0FB2B6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20200</w:t>
            </w: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  <w:hideMark/>
          </w:tcPr>
          <w:p w14:paraId="3747A7CA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0.056209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  <w:hideMark/>
          </w:tcPr>
          <w:p w14:paraId="52FCC8A6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4802.53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  <w:hideMark/>
          </w:tcPr>
          <w:p w14:paraId="46AA6118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0.064955</w:t>
            </w:r>
          </w:p>
        </w:tc>
      </w:tr>
      <w:tr w:rsidR="00D340FB" w:rsidRPr="00752CFE" w14:paraId="1ED83085" w14:textId="77777777" w:rsidTr="00307594">
        <w:trPr>
          <w:trHeight w:val="315"/>
          <w:jc w:val="center"/>
        </w:trPr>
        <w:tc>
          <w:tcPr>
            <w:tcW w:w="1675" w:type="dxa"/>
            <w:tcBorders>
              <w:top w:val="nil"/>
            </w:tcBorders>
            <w:vAlign w:val="center"/>
            <w:hideMark/>
          </w:tcPr>
          <w:p w14:paraId="06D22276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01/05/2015</w:t>
            </w:r>
          </w:p>
        </w:tc>
        <w:tc>
          <w:tcPr>
            <w:tcW w:w="1418" w:type="dxa"/>
            <w:tcBorders>
              <w:top w:val="nil"/>
            </w:tcBorders>
            <w:vAlign w:val="center"/>
            <w:hideMark/>
          </w:tcPr>
          <w:p w14:paraId="4680AB7C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20375</w:t>
            </w:r>
          </w:p>
        </w:tc>
        <w:tc>
          <w:tcPr>
            <w:tcW w:w="1677" w:type="dxa"/>
            <w:tcBorders>
              <w:top w:val="nil"/>
            </w:tcBorders>
            <w:vAlign w:val="center"/>
            <w:hideMark/>
          </w:tcPr>
          <w:p w14:paraId="513F8ABD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0.008663</w:t>
            </w:r>
          </w:p>
        </w:tc>
        <w:tc>
          <w:tcPr>
            <w:tcW w:w="1080" w:type="dxa"/>
            <w:tcBorders>
              <w:top w:val="nil"/>
            </w:tcBorders>
            <w:vAlign w:val="center"/>
            <w:hideMark/>
          </w:tcPr>
          <w:p w14:paraId="0DBA5492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4910.66</w:t>
            </w:r>
          </w:p>
        </w:tc>
        <w:tc>
          <w:tcPr>
            <w:tcW w:w="1620" w:type="dxa"/>
            <w:tcBorders>
              <w:top w:val="nil"/>
            </w:tcBorders>
            <w:vAlign w:val="center"/>
            <w:hideMark/>
          </w:tcPr>
          <w:p w14:paraId="404B2BB2" w14:textId="77777777" w:rsidR="00D340FB" w:rsidRPr="00752CFE" w:rsidRDefault="00D340FB" w:rsidP="00307594">
            <w:pPr>
              <w:jc w:val="both"/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</w:pPr>
            <w:r w:rsidRPr="00752CFE">
              <w:rPr>
                <w:rFonts w:ascii="Century Schoolbook" w:eastAsia="Times New Roman" w:hAnsi="Century Schoolbook" w:cs="Times New Roman"/>
                <w:color w:val="000000"/>
                <w:sz w:val="22"/>
                <w:szCs w:val="22"/>
                <w:lang w:val="en-ID" w:eastAsia="en-ID"/>
              </w:rPr>
              <w:t>0.022515</w:t>
            </w:r>
          </w:p>
        </w:tc>
      </w:tr>
    </w:tbl>
    <w:p w14:paraId="66CA2486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en-ID"/>
        </w:rPr>
      </w:pPr>
    </w:p>
    <w:p w14:paraId="73E80A15" w14:textId="77777777" w:rsidR="00D340FB" w:rsidRPr="00752CFE" w:rsidRDefault="00D340FB" w:rsidP="00307594">
      <w:pPr>
        <w:pStyle w:val="NormalWeb"/>
        <w:spacing w:before="0" w:beforeAutospacing="0"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Selanjutnya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seluruh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makroekonomi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fundamental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dibentuk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lag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satu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periode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(lag-1),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meliputi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batubara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tukar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USD/IDR, BI Rate, IHSG, ROE, dan DER.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Pendekatan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digunakan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untuk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menangkap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efek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keterlambatan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(temporal effect)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serta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menghindari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potensi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bias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simultanitas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pemodelan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Rosadi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&amp;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Prastyo</w:t>
      </w:r>
      <w:proofErr w:type="spellEnd"/>
      <w:r w:rsidRPr="00752CFE">
        <w:rPr>
          <w:rFonts w:ascii="Century Schoolbook" w:hAnsi="Century Schoolbook"/>
          <w:sz w:val="22"/>
          <w:szCs w:val="22"/>
        </w:rPr>
        <w:t>, 2018).</w:t>
      </w:r>
    </w:p>
    <w:p w14:paraId="1CDD7F56" w14:textId="1FAF5B17" w:rsidR="00D340FB" w:rsidRPr="00C64386" w:rsidRDefault="00D340FB" w:rsidP="00C64386">
      <w:pPr>
        <w:pStyle w:val="NormalWeb"/>
        <w:spacing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Setelah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proses lagging,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jumlah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observasi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efektif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menjadi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116 data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bulanan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Sebelum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tahap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pemodelan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dilakukan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eksploratori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untuk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memahami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karakteristik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data,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mengidentifikasi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pola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hubungan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awal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serta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mendeteksi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potensi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permasalahan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statistik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seperti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multikolinearitas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antar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independen</w:t>
      </w:r>
      <w:proofErr w:type="spellEnd"/>
      <w:r w:rsidRPr="00752CFE">
        <w:rPr>
          <w:rFonts w:ascii="Century Schoolbook" w:hAnsi="Century Schoolbook"/>
          <w:sz w:val="22"/>
          <w:szCs w:val="22"/>
        </w:rPr>
        <w:t>.</w:t>
      </w:r>
    </w:p>
    <w:p w14:paraId="786AB48B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b/>
          <w:bCs/>
          <w:sz w:val="22"/>
          <w:szCs w:val="22"/>
          <w:lang w:val="en-ID"/>
        </w:rPr>
      </w:pPr>
      <w:r w:rsidRPr="00752CFE">
        <w:rPr>
          <w:rFonts w:ascii="Century Schoolbook" w:hAnsi="Century Schoolbook" w:cs="Times New Roman"/>
          <w:b/>
          <w:bCs/>
          <w:sz w:val="22"/>
          <w:szCs w:val="22"/>
          <w:lang w:val="id-ID"/>
        </w:rPr>
        <w:t>3.</w:t>
      </w:r>
      <w:r w:rsidRPr="00752CFE">
        <w:rPr>
          <w:rFonts w:ascii="Century Schoolbook" w:hAnsi="Century Schoolbook" w:cs="Times New Roman"/>
          <w:b/>
          <w:bCs/>
          <w:sz w:val="22"/>
          <w:szCs w:val="22"/>
          <w:lang w:val="en-ID"/>
        </w:rPr>
        <w:t xml:space="preserve">2 </w:t>
      </w:r>
      <w:proofErr w:type="spellStart"/>
      <w:r w:rsidRPr="00752CFE">
        <w:rPr>
          <w:rFonts w:ascii="Century Schoolbook" w:hAnsi="Century Schoolbook" w:cs="Times New Roman"/>
          <w:b/>
          <w:bCs/>
          <w:sz w:val="22"/>
          <w:szCs w:val="22"/>
          <w:lang w:val="en-ID"/>
        </w:rPr>
        <w:t>Analisis</w:t>
      </w:r>
      <w:proofErr w:type="spellEnd"/>
      <w:r w:rsidRPr="00752CFE">
        <w:rPr>
          <w:rFonts w:ascii="Century Schoolbook" w:hAnsi="Century Schoolbook" w:cs="Times New Roman"/>
          <w:b/>
          <w:bCs/>
          <w:sz w:val="22"/>
          <w:szCs w:val="22"/>
          <w:lang w:val="en-ID"/>
        </w:rPr>
        <w:t xml:space="preserve"> </w:t>
      </w:r>
      <w:proofErr w:type="spellStart"/>
      <w:r w:rsidRPr="00752CFE">
        <w:rPr>
          <w:rFonts w:ascii="Century Schoolbook" w:hAnsi="Century Schoolbook" w:cs="Times New Roman"/>
          <w:b/>
          <w:bCs/>
          <w:sz w:val="22"/>
          <w:szCs w:val="22"/>
          <w:lang w:val="en-ID"/>
        </w:rPr>
        <w:t>Eksploratif</w:t>
      </w:r>
      <w:proofErr w:type="spellEnd"/>
      <w:r w:rsidRPr="00752CFE">
        <w:rPr>
          <w:rFonts w:ascii="Century Schoolbook" w:hAnsi="Century Schoolbook" w:cs="Times New Roman"/>
          <w:b/>
          <w:bCs/>
          <w:sz w:val="22"/>
          <w:szCs w:val="22"/>
          <w:lang w:val="en-ID"/>
        </w:rPr>
        <w:t xml:space="preserve"> (EDA) &amp; </w:t>
      </w:r>
      <w:proofErr w:type="spellStart"/>
      <w:r w:rsidRPr="00752CFE">
        <w:rPr>
          <w:rFonts w:ascii="Century Schoolbook" w:hAnsi="Century Schoolbook" w:cs="Times New Roman"/>
          <w:b/>
          <w:bCs/>
          <w:sz w:val="22"/>
          <w:szCs w:val="22"/>
          <w:lang w:val="en-ID"/>
        </w:rPr>
        <w:t>Visualisasi</w:t>
      </w:r>
      <w:proofErr w:type="spellEnd"/>
    </w:p>
    <w:p w14:paraId="309D4271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/>
          <w:sz w:val="22"/>
          <w:szCs w:val="22"/>
        </w:rPr>
      </w:pPr>
      <w:r w:rsidRPr="00752CFE">
        <w:rPr>
          <w:rFonts w:ascii="Century Schoolbook" w:hAnsi="Century Schoolbook" w:cs="Times New Roman"/>
          <w:sz w:val="22"/>
          <w:szCs w:val="22"/>
          <w:lang w:val="en-ID"/>
        </w:rPr>
        <w:t xml:space="preserve">a.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Hubungan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Harga Saham UNTR dan Harga Batubara</w:t>
      </w:r>
    </w:p>
    <w:p w14:paraId="1C0AABF7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en-ID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Visualisasi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perbandingan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batubara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adanya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pola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pergerakan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relatif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searah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terutama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periode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boom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komoditas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2021–2022.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Temuan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mengonfirmasi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kinerja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sangat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dipengaruhi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oleh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siklus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industri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pertambangan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sejalan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hasil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sebelumnya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menegaskan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sensitivitas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sektor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energi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terhadap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komoditas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global (Hidayat &amp; Nugroho, 2024).</w:t>
      </w:r>
    </w:p>
    <w:p w14:paraId="6073DE12" w14:textId="77777777" w:rsidR="00D340FB" w:rsidRPr="00752CFE" w:rsidRDefault="00D340FB" w:rsidP="00752CFE">
      <w:pPr>
        <w:spacing w:line="276" w:lineRule="auto"/>
        <w:jc w:val="center"/>
        <w:rPr>
          <w:rFonts w:ascii="Century Schoolbook" w:hAnsi="Century Schoolbook" w:cs="Times New Roman"/>
          <w:b/>
          <w:bCs/>
          <w:sz w:val="22"/>
          <w:szCs w:val="22"/>
          <w:lang w:val="sv-SE"/>
        </w:rPr>
      </w:pPr>
      <w:r w:rsidRPr="00752CFE">
        <w:rPr>
          <w:rFonts w:ascii="Century Schoolbook" w:hAnsi="Century Schoolbook"/>
          <w:noProof/>
          <w:sz w:val="22"/>
          <w:szCs w:val="22"/>
        </w:rPr>
        <w:drawing>
          <wp:inline distT="0" distB="0" distL="0" distR="0" wp14:anchorId="38EE36B7" wp14:editId="25B5E12D">
            <wp:extent cx="2640965" cy="1293495"/>
            <wp:effectExtent l="0" t="0" r="6985" b="1905"/>
            <wp:docPr id="2924913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B5358" w14:textId="77777777" w:rsidR="00752CFE" w:rsidRPr="00752CFE" w:rsidRDefault="00D340FB" w:rsidP="00752CFE">
      <w:pPr>
        <w:spacing w:line="276" w:lineRule="auto"/>
        <w:jc w:val="center"/>
        <w:rPr>
          <w:rFonts w:ascii="Century Schoolbook" w:hAnsi="Century Schoolbook" w:cs="Times New Roman"/>
          <w:sz w:val="22"/>
          <w:szCs w:val="22"/>
          <w:lang w:val="id-ID"/>
        </w:rPr>
      </w:pPr>
      <w:r w:rsidRPr="00752CFE">
        <w:rPr>
          <w:rFonts w:ascii="Century Schoolbook" w:hAnsi="Century Schoolbook" w:cs="Times New Roman"/>
          <w:b/>
          <w:bCs/>
          <w:sz w:val="22"/>
          <w:szCs w:val="22"/>
          <w:lang w:val="sv-SE"/>
        </w:rPr>
        <w:t>Gambar 1.</w:t>
      </w:r>
      <w:r w:rsidRPr="00752CFE">
        <w:rPr>
          <w:rFonts w:ascii="Century Schoolbook" w:hAnsi="Century Schoolbook" w:cs="Times New Roman"/>
          <w:sz w:val="22"/>
          <w:szCs w:val="22"/>
          <w:lang w:val="sv-SE"/>
        </w:rPr>
        <w:t> </w:t>
      </w:r>
      <w:r w:rsidRPr="00752CFE">
        <w:rPr>
          <w:rFonts w:ascii="Century Schoolbook" w:hAnsi="Century Schoolbook" w:cs="Times New Roman"/>
          <w:sz w:val="22"/>
          <w:szCs w:val="22"/>
          <w:lang w:val="id-ID"/>
        </w:rPr>
        <w:t>Hubungan komoditas</w:t>
      </w:r>
    </w:p>
    <w:p w14:paraId="2B594C02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  <w:r w:rsidRPr="00752CFE">
        <w:rPr>
          <w:rFonts w:ascii="Century Schoolbook" w:hAnsi="Century Schoolbook" w:cs="Times New Roman"/>
          <w:sz w:val="22"/>
          <w:szCs w:val="22"/>
          <w:lang w:val="sv-SE"/>
        </w:rPr>
        <w:t>b. Siklus Ekonomi dan Volatilitas Historis</w:t>
      </w:r>
    </w:p>
    <w:p w14:paraId="1BC5B7EE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siklus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mengalami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beberapa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fase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ekstrem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mulai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dari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kontraksi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periode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resesi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komoditas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pandemi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hingga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ekspansi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tajam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krisis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energi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global. Pola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menegaskan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karakteristik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sebagai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aset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siklikal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volatilitas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tinggi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Penurunan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tajam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dari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puncak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titik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terendah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memperkuat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temuan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ekstrem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tercermin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Maximum </w:t>
      </w:r>
      <w:r w:rsidRPr="00752CFE">
        <w:rPr>
          <w:rFonts w:ascii="Century Schoolbook" w:hAnsi="Century Schoolbook"/>
          <w:sz w:val="22"/>
          <w:szCs w:val="22"/>
        </w:rPr>
        <w:lastRenderedPageBreak/>
        <w:t xml:space="preserve">Drawdown,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sekaligus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potensi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keuntungan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tinggi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selalu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diiringi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kerugian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signifikan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(Mendes &amp; Leal, 2017).</w:t>
      </w:r>
    </w:p>
    <w:p w14:paraId="0B2DD8B7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</w:p>
    <w:p w14:paraId="78DFA13F" w14:textId="77777777" w:rsidR="00D340FB" w:rsidRPr="00752CFE" w:rsidRDefault="00D340FB" w:rsidP="00752CFE">
      <w:pPr>
        <w:spacing w:line="276" w:lineRule="auto"/>
        <w:jc w:val="center"/>
        <w:rPr>
          <w:rFonts w:ascii="Century Schoolbook" w:hAnsi="Century Schoolbook" w:cs="Times New Roman"/>
          <w:sz w:val="22"/>
          <w:szCs w:val="22"/>
          <w:lang w:val="sv-SE"/>
        </w:rPr>
      </w:pPr>
      <w:r w:rsidRPr="00752CFE">
        <w:rPr>
          <w:rFonts w:ascii="Century Schoolbook" w:hAnsi="Century Schoolbook"/>
          <w:noProof/>
          <w:sz w:val="22"/>
          <w:szCs w:val="22"/>
        </w:rPr>
        <w:drawing>
          <wp:inline distT="0" distB="0" distL="0" distR="0" wp14:anchorId="4D8C34E4" wp14:editId="16D5FBDA">
            <wp:extent cx="2640965" cy="1226185"/>
            <wp:effectExtent l="0" t="0" r="6985" b="0"/>
            <wp:docPr id="35536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74041" w14:textId="3778C7F1" w:rsidR="00C64386" w:rsidRPr="00752CFE" w:rsidRDefault="00D340FB" w:rsidP="00C64386">
      <w:pPr>
        <w:spacing w:line="276" w:lineRule="auto"/>
        <w:jc w:val="center"/>
        <w:rPr>
          <w:rFonts w:ascii="Century Schoolbook" w:hAnsi="Century Schoolbook" w:cs="Times New Roman"/>
          <w:sz w:val="22"/>
          <w:szCs w:val="22"/>
          <w:lang w:val="id-ID"/>
        </w:rPr>
      </w:pPr>
      <w:r w:rsidRPr="00752CFE">
        <w:rPr>
          <w:rFonts w:ascii="Century Schoolbook" w:hAnsi="Century Schoolbook" w:cs="Times New Roman"/>
          <w:b/>
          <w:bCs/>
          <w:sz w:val="22"/>
          <w:szCs w:val="22"/>
          <w:lang w:val="sv-SE"/>
        </w:rPr>
        <w:t xml:space="preserve">Gambar 2. </w:t>
      </w:r>
      <w:r w:rsidRPr="00752CFE">
        <w:rPr>
          <w:rFonts w:ascii="Century Schoolbook" w:hAnsi="Century Schoolbook" w:cs="Times New Roman"/>
          <w:sz w:val="22"/>
          <w:szCs w:val="22"/>
          <w:lang w:val="id-ID"/>
        </w:rPr>
        <w:t>Volatilitas dan MDD</w:t>
      </w:r>
    </w:p>
    <w:p w14:paraId="637907D4" w14:textId="77777777" w:rsidR="00D340FB" w:rsidRPr="00752CFE" w:rsidRDefault="00D340FB" w:rsidP="00752CFE">
      <w:pPr>
        <w:spacing w:line="276" w:lineRule="auto"/>
        <w:ind w:right="48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  <w:r w:rsidRPr="00752CFE">
        <w:rPr>
          <w:rFonts w:ascii="Century Schoolbook" w:hAnsi="Century Schoolbook" w:cs="Times New Roman"/>
          <w:sz w:val="22"/>
          <w:szCs w:val="22"/>
          <w:lang w:val="sv-SE"/>
        </w:rPr>
        <w:t xml:space="preserve">c. </w:t>
      </w:r>
      <w:r w:rsidRPr="00752CFE">
        <w:rPr>
          <w:rFonts w:ascii="Century Schoolbook" w:hAnsi="Century Schoolbook"/>
          <w:sz w:val="22"/>
          <w:szCs w:val="22"/>
        </w:rPr>
        <w:t>Ko-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movemen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dan Nilai Tukar</w:t>
      </w:r>
    </w:p>
    <w:p w14:paraId="48981641" w14:textId="7362BB95" w:rsidR="00D340FB" w:rsidRPr="00752CFE" w:rsidRDefault="00D340FB" w:rsidP="00752CFE">
      <w:pPr>
        <w:spacing w:line="276" w:lineRule="auto"/>
        <w:ind w:right="48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  <w:r w:rsidRPr="00752CFE">
        <w:rPr>
          <w:rFonts w:ascii="Century Schoolbook" w:hAnsi="Century Schoolbook"/>
          <w:sz w:val="22"/>
          <w:szCs w:val="22"/>
        </w:rPr>
        <w:t>Ko-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movemen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antara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tukar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USD/IDR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depresiasi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rupiah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sering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kali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diikuti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tekanan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meskipun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hubungan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tersebut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tidak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selalu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konsisten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Hal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mengindikasikan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pengaruh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tukar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bersifat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kontekstual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bergantung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kondisi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eksternal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lain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seperti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batubara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sentimen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global,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sebagaimana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juga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ditemukan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studi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pasar negara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berkembang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(Putra &amp; Setiawan, 2025).</w:t>
      </w:r>
    </w:p>
    <w:p w14:paraId="0D9A97A1" w14:textId="77777777" w:rsidR="00D340FB" w:rsidRPr="00752CFE" w:rsidRDefault="00D340FB" w:rsidP="00752CFE">
      <w:pPr>
        <w:spacing w:line="276" w:lineRule="auto"/>
        <w:ind w:right="48"/>
        <w:jc w:val="center"/>
        <w:rPr>
          <w:rFonts w:ascii="Century Schoolbook" w:hAnsi="Century Schoolbook" w:cs="Times New Roman"/>
          <w:sz w:val="22"/>
          <w:szCs w:val="22"/>
          <w:lang w:val="sv-SE"/>
        </w:rPr>
      </w:pPr>
      <w:r w:rsidRPr="00752CFE">
        <w:rPr>
          <w:rFonts w:ascii="Century Schoolbook" w:hAnsi="Century Schoolbook"/>
          <w:noProof/>
          <w:sz w:val="22"/>
          <w:szCs w:val="22"/>
        </w:rPr>
        <w:drawing>
          <wp:inline distT="0" distB="0" distL="0" distR="0" wp14:anchorId="2A2B98B0" wp14:editId="658D5E25">
            <wp:extent cx="2640965" cy="1271905"/>
            <wp:effectExtent l="0" t="0" r="6985" b="4445"/>
            <wp:docPr id="15789268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578D4" w14:textId="2F9B4996" w:rsidR="00C64386" w:rsidRPr="00C64386" w:rsidRDefault="00D340FB" w:rsidP="00C64386">
      <w:pPr>
        <w:spacing w:line="276" w:lineRule="auto"/>
        <w:ind w:right="48"/>
        <w:jc w:val="center"/>
        <w:rPr>
          <w:rFonts w:ascii="Century Schoolbook" w:hAnsi="Century Schoolbook" w:cs="Times New Roman"/>
          <w:sz w:val="22"/>
          <w:szCs w:val="22"/>
          <w:lang w:val="id-ID"/>
        </w:rPr>
      </w:pPr>
      <w:r w:rsidRPr="00752CFE">
        <w:rPr>
          <w:rFonts w:ascii="Century Schoolbook" w:hAnsi="Century Schoolbook" w:cs="Times New Roman"/>
          <w:b/>
          <w:bCs/>
          <w:sz w:val="22"/>
          <w:szCs w:val="22"/>
          <w:lang w:val="sv-SE"/>
        </w:rPr>
        <w:t>Gambar 3</w:t>
      </w:r>
      <w:r w:rsidRPr="00752CFE">
        <w:rPr>
          <w:rFonts w:ascii="Century Schoolbook" w:hAnsi="Century Schoolbook" w:cs="Times New Roman"/>
          <w:sz w:val="22"/>
          <w:szCs w:val="22"/>
          <w:lang w:val="sv-SE"/>
        </w:rPr>
        <w:t xml:space="preserve">. </w:t>
      </w:r>
      <w:r w:rsidRPr="00752CFE">
        <w:rPr>
          <w:rFonts w:ascii="Century Schoolbook" w:hAnsi="Century Schoolbook" w:cs="Times New Roman"/>
          <w:sz w:val="22"/>
          <w:szCs w:val="22"/>
          <w:lang w:val="id-ID"/>
        </w:rPr>
        <w:t>Ko-Movemen</w:t>
      </w:r>
    </w:p>
    <w:p w14:paraId="5D35DCE5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  <w:r w:rsidRPr="00752CFE">
        <w:rPr>
          <w:rFonts w:ascii="Century Schoolbook" w:hAnsi="Century Schoolbook" w:cs="Times New Roman"/>
          <w:sz w:val="22"/>
          <w:szCs w:val="22"/>
          <w:lang w:val="sv-SE"/>
        </w:rPr>
        <w:t>d. Karakteristik Return Saham UNTR</w:t>
      </w:r>
    </w:p>
    <w:p w14:paraId="1433E977" w14:textId="2546573A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Distribusi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return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bulanan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fluktuasi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di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sekitar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nol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beberapa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lonjakan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ekstrem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Pola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mencerminkan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sifat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return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sulit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diprediksi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secara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konsisten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jangka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pendek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mendukung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hipotesis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pasar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efisien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bentuk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lemah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menyatakan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informasi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historis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telah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tercermin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(Basak et al., 2019).</w:t>
      </w:r>
      <w:r w:rsidRPr="00752CFE">
        <w:rPr>
          <w:rFonts w:ascii="Century Schoolbook" w:hAnsi="Century Schoolbook" w:cs="Times New Roman"/>
          <w:sz w:val="22"/>
          <w:szCs w:val="22"/>
          <w:lang w:val="sv-SE"/>
        </w:rPr>
        <w:t xml:space="preserve"> </w:t>
      </w:r>
    </w:p>
    <w:p w14:paraId="26904589" w14:textId="77777777" w:rsidR="00D340FB" w:rsidRPr="00752CFE" w:rsidRDefault="00D340FB" w:rsidP="00752CFE">
      <w:pPr>
        <w:spacing w:line="276" w:lineRule="auto"/>
        <w:jc w:val="center"/>
        <w:rPr>
          <w:rFonts w:ascii="Century Schoolbook" w:hAnsi="Century Schoolbook" w:cs="Times New Roman"/>
          <w:sz w:val="22"/>
          <w:szCs w:val="22"/>
          <w:lang w:val="sv-SE"/>
        </w:rPr>
      </w:pPr>
      <w:r w:rsidRPr="00752CFE">
        <w:rPr>
          <w:rFonts w:ascii="Century Schoolbook" w:hAnsi="Century Schoolbook"/>
          <w:noProof/>
          <w:sz w:val="22"/>
          <w:szCs w:val="22"/>
        </w:rPr>
        <w:drawing>
          <wp:inline distT="0" distB="0" distL="0" distR="0" wp14:anchorId="7B6192D8" wp14:editId="694B6DC4">
            <wp:extent cx="2640965" cy="1403985"/>
            <wp:effectExtent l="0" t="0" r="6985" b="5715"/>
            <wp:docPr id="11547418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8614E" w14:textId="77777777" w:rsidR="00D340FB" w:rsidRPr="00752CFE" w:rsidRDefault="00D340FB" w:rsidP="00752CFE">
      <w:pPr>
        <w:spacing w:line="276" w:lineRule="auto"/>
        <w:jc w:val="center"/>
        <w:rPr>
          <w:rFonts w:ascii="Century Schoolbook" w:hAnsi="Century Schoolbook" w:cs="Times New Roman"/>
          <w:sz w:val="22"/>
          <w:szCs w:val="22"/>
          <w:lang w:val="id-ID"/>
        </w:rPr>
      </w:pPr>
      <w:r w:rsidRPr="00752CFE">
        <w:rPr>
          <w:rFonts w:ascii="Century Schoolbook" w:hAnsi="Century Schoolbook" w:cs="Times New Roman"/>
          <w:b/>
          <w:bCs/>
          <w:sz w:val="22"/>
          <w:szCs w:val="22"/>
          <w:lang w:val="sv-SE"/>
        </w:rPr>
        <w:t xml:space="preserve">Gambar 4. </w:t>
      </w:r>
      <w:r w:rsidRPr="00752CFE">
        <w:rPr>
          <w:rFonts w:ascii="Century Schoolbook" w:hAnsi="Century Schoolbook" w:cs="Times New Roman"/>
          <w:sz w:val="22"/>
          <w:szCs w:val="22"/>
          <w:lang w:val="id-ID"/>
        </w:rPr>
        <w:t>Sifat Return</w:t>
      </w:r>
    </w:p>
    <w:p w14:paraId="2D499A38" w14:textId="77777777" w:rsidR="00D340FB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</w:p>
    <w:p w14:paraId="440C15C5" w14:textId="77777777" w:rsidR="00B737B3" w:rsidRPr="00752CFE" w:rsidRDefault="00B737B3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</w:p>
    <w:p w14:paraId="7BAE289D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b/>
          <w:bCs/>
          <w:sz w:val="22"/>
          <w:szCs w:val="22"/>
          <w:lang w:val="sv-SE"/>
        </w:rPr>
      </w:pPr>
      <w:r w:rsidRPr="00752CFE">
        <w:rPr>
          <w:rFonts w:ascii="Century Schoolbook" w:hAnsi="Century Schoolbook" w:cs="Times New Roman"/>
          <w:sz w:val="22"/>
          <w:szCs w:val="22"/>
          <w:lang w:val="sv-SE"/>
        </w:rPr>
        <w:lastRenderedPageBreak/>
        <w:t>e. Hubungan Linier Antar Variabel</w:t>
      </w:r>
    </w:p>
    <w:p w14:paraId="6358F9CE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  <w:r w:rsidRPr="00752CFE">
        <w:rPr>
          <w:rFonts w:ascii="Century Schoolbook" w:hAnsi="Century Schoolbook"/>
          <w:sz w:val="22"/>
          <w:szCs w:val="22"/>
        </w:rPr>
        <w:t xml:space="preserve">Hasil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korelasi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Pearson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hubungan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linier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relatif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lemah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antara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return UNTR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sebagian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besar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independen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sementara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korelasi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antar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independen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tertentu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cukup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tinggi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Kondisi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menegaskan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keterbatasan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pendekatan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linier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murni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memperkuat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justifikasi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penggunaan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algoritma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machine learning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lebih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adaptif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terhadap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hubungan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non-linier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interaksi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kompleks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antar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(Chen &amp; Wang, 2024).</w:t>
      </w:r>
    </w:p>
    <w:p w14:paraId="67744DE4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</w:p>
    <w:p w14:paraId="73DD1FE8" w14:textId="77777777" w:rsidR="00D340FB" w:rsidRPr="00752CFE" w:rsidRDefault="00D340FB" w:rsidP="00752CFE">
      <w:pPr>
        <w:spacing w:line="276" w:lineRule="auto"/>
        <w:jc w:val="center"/>
        <w:rPr>
          <w:rFonts w:ascii="Century Schoolbook" w:hAnsi="Century Schoolbook" w:cs="Times New Roman"/>
          <w:b/>
          <w:bCs/>
          <w:sz w:val="22"/>
          <w:szCs w:val="22"/>
          <w:lang w:val="sv-SE"/>
        </w:rPr>
      </w:pPr>
      <w:r w:rsidRPr="00752CFE">
        <w:rPr>
          <w:rFonts w:ascii="Century Schoolbook" w:hAnsi="Century Schoolbook" w:cs="Times New Roman"/>
          <w:b/>
          <w:bCs/>
          <w:sz w:val="22"/>
          <w:szCs w:val="22"/>
          <w:lang w:val="sv-SE"/>
        </w:rPr>
        <w:t xml:space="preserve">Tabel 2.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Multikolinearitas</w:t>
      </w:r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516"/>
        <w:gridCol w:w="810"/>
        <w:gridCol w:w="1620"/>
        <w:gridCol w:w="1080"/>
        <w:gridCol w:w="1080"/>
      </w:tblGrid>
      <w:tr w:rsidR="00D340FB" w:rsidRPr="00752CFE" w14:paraId="13D9165A" w14:textId="77777777" w:rsidTr="00B737B3">
        <w:trPr>
          <w:jc w:val="center"/>
        </w:trPr>
        <w:tc>
          <w:tcPr>
            <w:tcW w:w="1544" w:type="dxa"/>
            <w:tcBorders>
              <w:bottom w:val="single" w:sz="4" w:space="0" w:color="auto"/>
            </w:tcBorders>
          </w:tcPr>
          <w:p w14:paraId="051DFFB2" w14:textId="77777777" w:rsidR="00D340FB" w:rsidRPr="00752CFE" w:rsidRDefault="00D340FB" w:rsidP="00B737B3">
            <w:pPr>
              <w:spacing w:line="276" w:lineRule="auto"/>
              <w:jc w:val="center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Variabel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6AE6FF3E" w14:textId="77777777" w:rsidR="00D340FB" w:rsidRPr="00752CFE" w:rsidRDefault="00D340FB" w:rsidP="00B737B3">
            <w:pPr>
              <w:spacing w:line="276" w:lineRule="auto"/>
              <w:jc w:val="center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Return untr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DAD47A" w14:textId="77777777" w:rsidR="00D340FB" w:rsidRPr="00752CFE" w:rsidRDefault="00D340FB" w:rsidP="00B737B3">
            <w:pPr>
              <w:spacing w:line="276" w:lineRule="auto"/>
              <w:jc w:val="center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coal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81615F9" w14:textId="77777777" w:rsidR="00D340FB" w:rsidRPr="00752CFE" w:rsidRDefault="00D340FB" w:rsidP="00B737B3">
            <w:pPr>
              <w:spacing w:line="276" w:lineRule="auto"/>
              <w:jc w:val="center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usd/idr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255E081" w14:textId="77777777" w:rsidR="00D340FB" w:rsidRPr="00752CFE" w:rsidRDefault="00D340FB" w:rsidP="00B737B3">
            <w:pPr>
              <w:spacing w:line="276" w:lineRule="auto"/>
              <w:jc w:val="center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bi rate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3926FD5" w14:textId="77777777" w:rsidR="00D340FB" w:rsidRPr="00752CFE" w:rsidRDefault="00D340FB" w:rsidP="00B737B3">
            <w:pPr>
              <w:spacing w:line="276" w:lineRule="auto"/>
              <w:jc w:val="center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ihsg</w:t>
            </w:r>
          </w:p>
        </w:tc>
      </w:tr>
      <w:tr w:rsidR="00D340FB" w:rsidRPr="00752CFE" w14:paraId="5292FE57" w14:textId="77777777" w:rsidTr="00B737B3">
        <w:trPr>
          <w:jc w:val="center"/>
        </w:trPr>
        <w:tc>
          <w:tcPr>
            <w:tcW w:w="1544" w:type="dxa"/>
            <w:tcBorders>
              <w:bottom w:val="nil"/>
            </w:tcBorders>
          </w:tcPr>
          <w:p w14:paraId="0A3B2841" w14:textId="77777777" w:rsidR="00D340FB" w:rsidRPr="00752CFE" w:rsidRDefault="00D340FB" w:rsidP="00752CFE">
            <w:pPr>
              <w:spacing w:line="276" w:lineRule="auto"/>
              <w:jc w:val="both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Return untr</w:t>
            </w:r>
          </w:p>
        </w:tc>
        <w:tc>
          <w:tcPr>
            <w:tcW w:w="1516" w:type="dxa"/>
            <w:tcBorders>
              <w:bottom w:val="nil"/>
            </w:tcBorders>
          </w:tcPr>
          <w:p w14:paraId="1A8409E0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1,00</w:t>
            </w:r>
          </w:p>
        </w:tc>
        <w:tc>
          <w:tcPr>
            <w:tcW w:w="810" w:type="dxa"/>
            <w:tcBorders>
              <w:bottom w:val="nil"/>
            </w:tcBorders>
          </w:tcPr>
          <w:p w14:paraId="567B9C0F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0,073</w:t>
            </w:r>
          </w:p>
        </w:tc>
        <w:tc>
          <w:tcPr>
            <w:tcW w:w="1620" w:type="dxa"/>
            <w:tcBorders>
              <w:bottom w:val="nil"/>
            </w:tcBorders>
          </w:tcPr>
          <w:p w14:paraId="5F1EC270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0,05</w:t>
            </w:r>
          </w:p>
        </w:tc>
        <w:tc>
          <w:tcPr>
            <w:tcW w:w="1080" w:type="dxa"/>
            <w:tcBorders>
              <w:bottom w:val="nil"/>
            </w:tcBorders>
          </w:tcPr>
          <w:p w14:paraId="3A163E78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-0,08</w:t>
            </w:r>
          </w:p>
        </w:tc>
        <w:tc>
          <w:tcPr>
            <w:tcW w:w="1080" w:type="dxa"/>
            <w:tcBorders>
              <w:bottom w:val="nil"/>
            </w:tcBorders>
          </w:tcPr>
          <w:p w14:paraId="02675E22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0,054</w:t>
            </w:r>
          </w:p>
        </w:tc>
      </w:tr>
      <w:tr w:rsidR="00D340FB" w:rsidRPr="00752CFE" w14:paraId="271B519A" w14:textId="77777777" w:rsidTr="00B737B3">
        <w:trPr>
          <w:jc w:val="center"/>
        </w:trPr>
        <w:tc>
          <w:tcPr>
            <w:tcW w:w="1544" w:type="dxa"/>
            <w:tcBorders>
              <w:top w:val="nil"/>
              <w:bottom w:val="nil"/>
            </w:tcBorders>
          </w:tcPr>
          <w:p w14:paraId="6C342E17" w14:textId="77777777" w:rsidR="00D340FB" w:rsidRPr="00752CFE" w:rsidRDefault="00D340FB" w:rsidP="00752CFE">
            <w:pPr>
              <w:spacing w:line="276" w:lineRule="auto"/>
              <w:jc w:val="both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coal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28D91B13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0,073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BF05EFA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1,00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F7863B4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0,5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895C3CA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-0,23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484D639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0,67</w:t>
            </w:r>
          </w:p>
        </w:tc>
      </w:tr>
      <w:tr w:rsidR="00D340FB" w:rsidRPr="00752CFE" w14:paraId="3E5F0AA0" w14:textId="77777777" w:rsidTr="00B737B3">
        <w:trPr>
          <w:jc w:val="center"/>
        </w:trPr>
        <w:tc>
          <w:tcPr>
            <w:tcW w:w="1544" w:type="dxa"/>
            <w:tcBorders>
              <w:top w:val="nil"/>
              <w:bottom w:val="nil"/>
            </w:tcBorders>
          </w:tcPr>
          <w:p w14:paraId="5E165563" w14:textId="77777777" w:rsidR="00D340FB" w:rsidRPr="00752CFE" w:rsidRDefault="00D340FB" w:rsidP="00752CFE">
            <w:pPr>
              <w:spacing w:line="276" w:lineRule="auto"/>
              <w:jc w:val="both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usd/idr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19D6AC01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0,05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B917190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0,5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5BE7AEC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1,00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77EB93B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-0,13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394CBE6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0,61</w:t>
            </w:r>
          </w:p>
        </w:tc>
      </w:tr>
      <w:tr w:rsidR="00D340FB" w:rsidRPr="00752CFE" w14:paraId="1994AD9D" w14:textId="77777777" w:rsidTr="00B737B3">
        <w:trPr>
          <w:jc w:val="center"/>
        </w:trPr>
        <w:tc>
          <w:tcPr>
            <w:tcW w:w="1544" w:type="dxa"/>
            <w:tcBorders>
              <w:top w:val="nil"/>
              <w:bottom w:val="nil"/>
            </w:tcBorders>
          </w:tcPr>
          <w:p w14:paraId="5F276E52" w14:textId="77777777" w:rsidR="00D340FB" w:rsidRPr="00752CFE" w:rsidRDefault="00D340FB" w:rsidP="00752CFE">
            <w:pPr>
              <w:spacing w:line="276" w:lineRule="auto"/>
              <w:jc w:val="both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bi rate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06C02399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-0,08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42255F6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-0,23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4488CBF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-0,13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E4C2EB6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1,00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BA8E636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-0,12</w:t>
            </w:r>
          </w:p>
        </w:tc>
      </w:tr>
      <w:tr w:rsidR="00D340FB" w:rsidRPr="00752CFE" w14:paraId="64024487" w14:textId="77777777" w:rsidTr="00B737B3">
        <w:trPr>
          <w:jc w:val="center"/>
        </w:trPr>
        <w:tc>
          <w:tcPr>
            <w:tcW w:w="1544" w:type="dxa"/>
            <w:tcBorders>
              <w:top w:val="nil"/>
            </w:tcBorders>
          </w:tcPr>
          <w:p w14:paraId="77D52D95" w14:textId="77777777" w:rsidR="00D340FB" w:rsidRPr="00752CFE" w:rsidRDefault="00D340FB" w:rsidP="00752CFE">
            <w:pPr>
              <w:spacing w:line="276" w:lineRule="auto"/>
              <w:jc w:val="both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ihsg</w:t>
            </w:r>
          </w:p>
        </w:tc>
        <w:tc>
          <w:tcPr>
            <w:tcW w:w="1516" w:type="dxa"/>
            <w:tcBorders>
              <w:top w:val="nil"/>
            </w:tcBorders>
          </w:tcPr>
          <w:p w14:paraId="4842AD42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0,054</w:t>
            </w:r>
          </w:p>
        </w:tc>
        <w:tc>
          <w:tcPr>
            <w:tcW w:w="810" w:type="dxa"/>
            <w:tcBorders>
              <w:top w:val="nil"/>
            </w:tcBorders>
          </w:tcPr>
          <w:p w14:paraId="40FD87D5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0,67</w:t>
            </w:r>
          </w:p>
        </w:tc>
        <w:tc>
          <w:tcPr>
            <w:tcW w:w="1620" w:type="dxa"/>
            <w:tcBorders>
              <w:top w:val="nil"/>
            </w:tcBorders>
          </w:tcPr>
          <w:p w14:paraId="5950BB76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0,61</w:t>
            </w:r>
          </w:p>
        </w:tc>
        <w:tc>
          <w:tcPr>
            <w:tcW w:w="1080" w:type="dxa"/>
            <w:tcBorders>
              <w:top w:val="nil"/>
            </w:tcBorders>
          </w:tcPr>
          <w:p w14:paraId="093489D8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-0,12</w:t>
            </w:r>
          </w:p>
        </w:tc>
        <w:tc>
          <w:tcPr>
            <w:tcW w:w="1080" w:type="dxa"/>
            <w:tcBorders>
              <w:top w:val="nil"/>
            </w:tcBorders>
          </w:tcPr>
          <w:p w14:paraId="3F98CD21" w14:textId="77777777" w:rsidR="00D340FB" w:rsidRPr="00752CFE" w:rsidRDefault="00D340FB" w:rsidP="00B737B3">
            <w:pPr>
              <w:spacing w:line="276" w:lineRule="auto"/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</w:pPr>
            <w:r w:rsidRPr="00752CFE">
              <w:rPr>
                <w:rFonts w:ascii="Century Schoolbook" w:hAnsi="Century Schoolbook" w:cs="Times New Roman"/>
                <w:sz w:val="22"/>
                <w:szCs w:val="22"/>
                <w:lang w:val="sv-SE"/>
              </w:rPr>
              <w:t>1,00</w:t>
            </w:r>
          </w:p>
        </w:tc>
      </w:tr>
    </w:tbl>
    <w:p w14:paraId="4D7F73C4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</w:p>
    <w:p w14:paraId="2D88F2EE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b/>
          <w:bCs/>
          <w:sz w:val="22"/>
          <w:szCs w:val="22"/>
          <w:lang w:val="sv-SE"/>
        </w:rPr>
      </w:pPr>
      <w:r w:rsidRPr="00752CFE">
        <w:rPr>
          <w:rFonts w:ascii="Century Schoolbook" w:hAnsi="Century Schoolbook" w:cs="Times New Roman"/>
          <w:b/>
          <w:bCs/>
          <w:sz w:val="22"/>
          <w:szCs w:val="22"/>
          <w:lang w:val="id-ID"/>
        </w:rPr>
        <w:t>3.</w:t>
      </w:r>
      <w:r w:rsidRPr="00752CFE">
        <w:rPr>
          <w:rFonts w:ascii="Century Schoolbook" w:hAnsi="Century Schoolbook" w:cs="Times New Roman"/>
          <w:b/>
          <w:bCs/>
          <w:sz w:val="22"/>
          <w:szCs w:val="22"/>
          <w:lang w:val="sv-SE"/>
        </w:rPr>
        <w:t>3 Pemodelan Prediksi Arah Return</w:t>
      </w:r>
    </w:p>
    <w:p w14:paraId="79DC6E4C" w14:textId="77777777" w:rsidR="00D340FB" w:rsidRPr="00752CFE" w:rsidRDefault="00D340FB" w:rsidP="00B737B3">
      <w:pPr>
        <w:pStyle w:val="NormalWeb"/>
        <w:spacing w:before="0" w:beforeAutospacing="0" w:line="276" w:lineRule="auto"/>
        <w:jc w:val="both"/>
        <w:rPr>
          <w:rFonts w:ascii="Century Schoolbook" w:hAnsi="Century Schoolbook"/>
          <w:sz w:val="22"/>
          <w:szCs w:val="22"/>
        </w:rPr>
      </w:pPr>
      <w:r w:rsidRPr="00752CFE">
        <w:rPr>
          <w:rFonts w:ascii="Century Schoolbook" w:hAnsi="Century Schoolbook"/>
          <w:sz w:val="22"/>
          <w:szCs w:val="22"/>
        </w:rPr>
        <w:t xml:space="preserve">Hasil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pemodelan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Logistic Regression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XGBoost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menghasilkan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tingkat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akurasi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sedikit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di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tebakan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acak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Temuan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mengindikasikan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prediksi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arah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return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horizon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bulanan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merupakan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permasalahan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sangat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kompleks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sarat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proofErr w:type="gramStart"/>
      <w:r w:rsidRPr="00752CFE">
        <w:rPr>
          <w:rFonts w:ascii="Century Schoolbook" w:hAnsi="Century Schoolbook"/>
          <w:sz w:val="22"/>
          <w:szCs w:val="22"/>
        </w:rPr>
        <w:t>noise.Secara</w:t>
      </w:r>
      <w:proofErr w:type="spellEnd"/>
      <w:proofErr w:type="gram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kritis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keterbatasan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akurasi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semata-mata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disebabkan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oleh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kelemahan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model,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melainkan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mencerminkan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sifat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intrinsik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pasar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mendekati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efisiensi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Dalam pasar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relatif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efisien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peluang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arbitrase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berbasis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informasi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historis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sangat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terbatas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sehingga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sinyal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prediktif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dapat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diekstraksi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oleh model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statistik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maupun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machine learning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menjadi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lemah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(Pramana &amp; Santoso, 2021; Sharma et al., 2024).</w:t>
      </w:r>
    </w:p>
    <w:p w14:paraId="188051A6" w14:textId="77777777" w:rsidR="00D340FB" w:rsidRPr="00752CFE" w:rsidRDefault="00D340FB" w:rsidP="00752CFE">
      <w:pPr>
        <w:pStyle w:val="NormalWeb"/>
        <w:spacing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Meskipun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demikian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feature importance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dari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model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XGBoost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memberikan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wawasan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fundamental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perusahaan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khususnya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DER,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muncul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sebagai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faktor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paling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dominan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struktur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keuangan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perusahaan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memiliki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lebih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penting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dibandingkan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indikator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makro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memengaruhi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arah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return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jangka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pendek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Temuan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sejalan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literatur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menekankan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relevansi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rasio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leverage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penilaian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sektor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non-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keuangan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(Rahman et al., 2023).</w:t>
      </w:r>
    </w:p>
    <w:p w14:paraId="0DC9007C" w14:textId="77777777" w:rsidR="00D340FB" w:rsidRPr="00752CFE" w:rsidRDefault="00D340FB" w:rsidP="00752CFE">
      <w:pPr>
        <w:pStyle w:val="NormalWeb"/>
        <w:spacing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demikian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kontribusi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utama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model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prediktif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tingkat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akurasi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absolut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melainkan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kemampuannya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mengidentifikasi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faktor-faktor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kunci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berpengaruh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terhadap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pergerakan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>.</w:t>
      </w:r>
    </w:p>
    <w:p w14:paraId="73244AD8" w14:textId="77777777" w:rsidR="00D340FB" w:rsidRPr="00752CFE" w:rsidRDefault="00D340FB" w:rsidP="00752CFE">
      <w:pPr>
        <w:spacing w:line="276" w:lineRule="auto"/>
        <w:jc w:val="both"/>
        <w:rPr>
          <w:rFonts w:ascii="Century Schoolbook" w:hAnsi="Century Schoolbook" w:cs="Times New Roman"/>
          <w:b/>
          <w:bCs/>
          <w:sz w:val="22"/>
          <w:szCs w:val="22"/>
          <w:lang w:val="sv-SE"/>
        </w:rPr>
      </w:pPr>
      <w:r w:rsidRPr="00752CFE">
        <w:rPr>
          <w:rFonts w:ascii="Century Schoolbook" w:hAnsi="Century Schoolbook" w:cs="Times New Roman"/>
          <w:b/>
          <w:bCs/>
          <w:sz w:val="22"/>
          <w:szCs w:val="22"/>
          <w:lang w:val="id-ID"/>
        </w:rPr>
        <w:t>3.</w:t>
      </w:r>
      <w:r w:rsidRPr="00752CFE">
        <w:rPr>
          <w:rFonts w:ascii="Century Schoolbook" w:hAnsi="Century Schoolbook" w:cs="Times New Roman"/>
          <w:b/>
          <w:bCs/>
          <w:sz w:val="22"/>
          <w:szCs w:val="22"/>
          <w:lang w:val="sv-SE"/>
        </w:rPr>
        <w:t>4 Analisis Hubungan Dinamis dan Risiko Ekstrim Menggunakan VAR</w:t>
      </w:r>
    </w:p>
    <w:p w14:paraId="52582A57" w14:textId="77777777" w:rsidR="00D340FB" w:rsidRPr="00752CFE" w:rsidRDefault="00D340FB" w:rsidP="00B737B3">
      <w:pPr>
        <w:pStyle w:val="NormalWeb"/>
        <w:spacing w:before="0" w:beforeAutospacing="0" w:line="276" w:lineRule="auto"/>
        <w:jc w:val="both"/>
        <w:rPr>
          <w:rFonts w:ascii="Century Schoolbook" w:hAnsi="Century Schoolbook"/>
          <w:sz w:val="22"/>
          <w:szCs w:val="22"/>
        </w:rPr>
      </w:pPr>
      <w:r w:rsidRPr="00752CFE">
        <w:rPr>
          <w:rFonts w:ascii="Century Schoolbook" w:hAnsi="Century Schoolbook"/>
          <w:sz w:val="22"/>
          <w:szCs w:val="22"/>
        </w:rPr>
        <w:t xml:space="preserve">Hasil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estimasi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VAR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dinamika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batubara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tukar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didominasi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oleh momentum internal masing-masing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Temuan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mengimplikasikan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shock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eksternal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memiliki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dampak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terbatas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terhadap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lastRenderedPageBreak/>
        <w:t>volatilitas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jangka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menengah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konsisten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VAR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blue chip Indonesia (Santoso &amp; Hidayat, 2020</w:t>
      </w:r>
      <w:proofErr w:type="gramStart"/>
      <w:r w:rsidRPr="00752CFE">
        <w:rPr>
          <w:rFonts w:ascii="Century Schoolbook" w:hAnsi="Century Schoolbook"/>
          <w:sz w:val="22"/>
          <w:szCs w:val="22"/>
        </w:rPr>
        <w:t>).Dari</w:t>
      </w:r>
      <w:proofErr w:type="gram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perspektif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praktis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hasil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FEVD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diversifikasi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berbasis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makro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eksternal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belum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tentu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efektif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untuk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mengurangi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karena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volatilitasnya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lebih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banyak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berasal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dari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faktor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internal. Hal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penting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investor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profil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moderat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hingga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agresif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perlu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mengelola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eksposur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melalui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manajemen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portofolio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strategi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keluar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(exit strategy),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bukan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mengandalkan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diversifikasi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makro</w:t>
      </w:r>
      <w:proofErr w:type="spellEnd"/>
      <w:r w:rsidRPr="00752CFE">
        <w:rPr>
          <w:rFonts w:ascii="Century Schoolbook" w:hAnsi="Century Schoolbook"/>
          <w:sz w:val="22"/>
          <w:szCs w:val="22"/>
        </w:rPr>
        <w:t>.</w:t>
      </w:r>
    </w:p>
    <w:p w14:paraId="1B5D3EC6" w14:textId="77777777" w:rsidR="00F870A4" w:rsidRPr="00752CFE" w:rsidRDefault="00D340FB" w:rsidP="00752CFE">
      <w:pPr>
        <w:pStyle w:val="NormalWeb"/>
        <w:spacing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ekstrem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memperkuat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implikasi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tersebut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Nilai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memberikan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gambaran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kerugian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jangka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pendek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masih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batas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toleransi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investor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agresif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sementara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Maximum Drawdown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besar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berpotensi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mengalami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penurunan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sangat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signifikan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Bagi investor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konservatif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temuan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mengindikasikan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kurang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sesuai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tanpa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mekanisme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lindung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atau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batasan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alokasi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ketat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Sebaliknya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investor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jangka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panjang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toleransi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tinggi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dapat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memanfaatkan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volatilitas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sebagai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peluang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akumulasi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syarat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memiliki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horizon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investasi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memadai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manajemen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disiplin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</w:t>
      </w:r>
      <w:proofErr w:type="spellStart"/>
      <w:r w:rsidRPr="00752CFE">
        <w:rPr>
          <w:rFonts w:ascii="Century Schoolbook" w:hAnsi="Century Schoolbook"/>
          <w:sz w:val="22"/>
          <w:szCs w:val="22"/>
        </w:rPr>
        <w:t>Zabarankin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et al., 2021).</w:t>
      </w:r>
    </w:p>
    <w:p w14:paraId="633DEC5F" w14:textId="77777777" w:rsidR="00F870A4" w:rsidRPr="00752CFE" w:rsidRDefault="005F0013" w:rsidP="00752CFE">
      <w:pPr>
        <w:spacing w:after="120" w:line="276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</w:pPr>
      <w:r w:rsidRPr="00752CFE"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  <w:t xml:space="preserve">4.  SIMPULAN </w:t>
      </w:r>
    </w:p>
    <w:p w14:paraId="59A1EC6D" w14:textId="77777777" w:rsidR="00D340FB" w:rsidRPr="00752CFE" w:rsidRDefault="00D340FB" w:rsidP="00B737B3">
      <w:pPr>
        <w:pStyle w:val="NormalWeb"/>
        <w:spacing w:before="0" w:beforeAutospacing="0"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mengkaji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integrasi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metode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machine learning,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ekonometrika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manajemen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PT United Tractors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Tbk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(UNTR)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sebagai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representasi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emiten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sektor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pertambangan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di pasar modal Indonesia. Hasil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pergerakan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return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dipengaruhi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oleh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kombinasi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faktor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internal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perusahaan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kondisi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eksternal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karakteristik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hubungan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bersifat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dinamis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non-linear.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Temuan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mengonfirmasi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pendekatan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analitis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tunggal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kurang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memadai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untuk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menangkap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kompleksitas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perilaku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di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sektor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sangat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sensitif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terhadap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siklus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komoditas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kondisi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proofErr w:type="gramStart"/>
      <w:r w:rsidRPr="00752CFE">
        <w:rPr>
          <w:rFonts w:ascii="Century Schoolbook" w:hAnsi="Century Schoolbook"/>
          <w:sz w:val="22"/>
          <w:szCs w:val="22"/>
        </w:rPr>
        <w:t>makroekonomi.Dari</w:t>
      </w:r>
      <w:proofErr w:type="spellEnd"/>
      <w:proofErr w:type="gram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prediksi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arah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return, model Logistic Regression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XGBoost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menghasilkan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tingkat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akurasi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relatif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terbatas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sedikit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lebih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tinggi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dibandingkan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tebakan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acak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Hasil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menegaskan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pasar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khususnya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karakteristik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pasar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relatif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efisien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sehingga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peluang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prediksi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arah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return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secara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konsisten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bersifat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terbatas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Meskipun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demikian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feature importance pada model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XGBoost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memberikan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informasi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di mana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fundamental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perusahaan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khususnya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struktur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utang (DER),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serta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faktor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historis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tukar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terbukti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memiliki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lebih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dominan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dibandingkan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makroekonomi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lainnya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Hal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meskipun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akurasi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prediksi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terbatas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model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berbasis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data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tetap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mampu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mengungkap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sinyal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ekonomi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relevan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pengambilan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keputusan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investasi</w:t>
      </w:r>
      <w:proofErr w:type="spellEnd"/>
      <w:r w:rsidRPr="00752CFE">
        <w:rPr>
          <w:rFonts w:ascii="Century Schoolbook" w:hAnsi="Century Schoolbook"/>
          <w:sz w:val="22"/>
          <w:szCs w:val="22"/>
        </w:rPr>
        <w:t>.</w:t>
      </w:r>
    </w:p>
    <w:p w14:paraId="33F7EB5D" w14:textId="77777777" w:rsidR="00D340FB" w:rsidRPr="00752CFE" w:rsidRDefault="00D340FB" w:rsidP="00752CFE">
      <w:pPr>
        <w:pStyle w:val="NormalWeb"/>
        <w:spacing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Vector Autoregression (VAR)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volatilitas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jangka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pendek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menengah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lebih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banyak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dipengaruhi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oleh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dinamika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internal </w:t>
      </w:r>
      <w:proofErr w:type="spellStart"/>
      <w:r w:rsidRPr="00752CFE">
        <w:rPr>
          <w:rFonts w:ascii="Century Schoolbook" w:hAnsi="Century Schoolbook"/>
          <w:sz w:val="22"/>
          <w:szCs w:val="22"/>
        </w:rPr>
        <w:lastRenderedPageBreak/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itu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sendiri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dibandingkan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oleh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eksternal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seperti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batubara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tukar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Temuan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mengindikasikan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faktor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spesifik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perusahaan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perilaku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pasar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memainkan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penting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pembentukan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volatilitas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sementara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pengaruh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makroekonomi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cenderung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bersifat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tidak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langsung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berkembang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secara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bertahap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Dari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perspektif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nilai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Value at Risk (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) dan Maximum Drawdown (MDD)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tinggi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mencerminkan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eksposur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ekstrem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signifikan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terutama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periode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guncangan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global,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sehingga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saham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UNTR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lebih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sesuai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bagi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investor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toleransi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menengah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hingga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tinggi</w:t>
      </w:r>
      <w:proofErr w:type="spellEnd"/>
      <w:r w:rsidRPr="00752CFE">
        <w:rPr>
          <w:rFonts w:ascii="Century Schoolbook" w:hAnsi="Century Schoolbook"/>
          <w:sz w:val="22"/>
          <w:szCs w:val="22"/>
        </w:rPr>
        <w:t>.</w:t>
      </w:r>
    </w:p>
    <w:p w14:paraId="490D197D" w14:textId="77777777" w:rsidR="00D340FB" w:rsidRPr="00752CFE" w:rsidRDefault="00D340FB" w:rsidP="00752CFE">
      <w:pPr>
        <w:pStyle w:val="NormalWeb"/>
        <w:spacing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Secara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konseptual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metodologis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kontribusi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utama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terletak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pengembangan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kerangka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investasi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berbasis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data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mengintegrasikan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prediksi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hubungan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dinamis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pengukuran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satu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pendekatan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terpadu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Integrasi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antara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machine learning, model VAR,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serta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metrik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seperti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MDD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memberikan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alternatif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metodologis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lebih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komprehensif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dibandingkan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pendekatan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konvensional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umumnya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digunakan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pasar modal Indonesia.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demikian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memperkaya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literatur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menawarkan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model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investasi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tidak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berorientasi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akurasi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prediksi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tetapi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juga pada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pemahaman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struktur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dinamika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pasar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secara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menyeluruh</w:t>
      </w:r>
      <w:proofErr w:type="spellEnd"/>
      <w:r w:rsidRPr="00752CFE">
        <w:rPr>
          <w:rFonts w:ascii="Century Schoolbook" w:hAnsi="Century Schoolbook"/>
          <w:sz w:val="22"/>
          <w:szCs w:val="22"/>
        </w:rPr>
        <w:t>.</w:t>
      </w:r>
    </w:p>
    <w:p w14:paraId="53F80495" w14:textId="5AB1221D" w:rsidR="00752CFE" w:rsidRDefault="00D340FB" w:rsidP="00DB2DA8">
      <w:pPr>
        <w:spacing w:line="276" w:lineRule="auto"/>
        <w:jc w:val="both"/>
        <w:rPr>
          <w:rFonts w:ascii="Century Schoolbook" w:hAnsi="Century Schoolbook"/>
          <w:sz w:val="22"/>
          <w:szCs w:val="22"/>
        </w:rPr>
      </w:pPr>
      <w:proofErr w:type="spellStart"/>
      <w:r w:rsidRPr="00752CFE">
        <w:rPr>
          <w:rFonts w:ascii="Century Schoolbook" w:hAnsi="Century Schoolbook"/>
          <w:sz w:val="22"/>
          <w:szCs w:val="22"/>
        </w:rPr>
        <w:t>Implikasi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praktis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dari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menunjukkan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bahwa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investor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tidak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sebaiknya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mengandalkan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model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prediksi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arah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harga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semata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melainkan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perlu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mengombinasikannya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risiko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hubungan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antar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variabel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ekonomi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.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Kerangka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analitis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diusulkan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dalam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penelitian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diharapkan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dapat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menjadi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dasar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pengembangan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model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pengambilan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keputusan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investasi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lebih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adaptif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,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berbasis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data,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relevan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dengan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karakteristik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pasar modal Indonesia yang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dinamis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dan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semakin</w:t>
      </w:r>
      <w:proofErr w:type="spellEnd"/>
      <w:r w:rsidRPr="00752CFE">
        <w:rPr>
          <w:rFonts w:ascii="Century Schoolbook" w:hAnsi="Century Schoolbook"/>
          <w:sz w:val="22"/>
          <w:szCs w:val="22"/>
        </w:rPr>
        <w:t xml:space="preserve"> </w:t>
      </w:r>
      <w:proofErr w:type="spellStart"/>
      <w:r w:rsidRPr="00752CFE">
        <w:rPr>
          <w:rFonts w:ascii="Century Schoolbook" w:hAnsi="Century Schoolbook"/>
          <w:sz w:val="22"/>
          <w:szCs w:val="22"/>
        </w:rPr>
        <w:t>kompleks</w:t>
      </w:r>
      <w:proofErr w:type="spellEnd"/>
      <w:r w:rsidRPr="00752CFE">
        <w:rPr>
          <w:rFonts w:ascii="Century Schoolbook" w:hAnsi="Century Schoolbook"/>
          <w:sz w:val="22"/>
          <w:szCs w:val="22"/>
        </w:rPr>
        <w:t>.</w:t>
      </w:r>
    </w:p>
    <w:p w14:paraId="6F1E9937" w14:textId="77777777" w:rsidR="00DB2DA8" w:rsidRPr="00752CFE" w:rsidRDefault="00DB2DA8" w:rsidP="00DB2DA8">
      <w:pPr>
        <w:spacing w:after="120"/>
        <w:jc w:val="both"/>
        <w:rPr>
          <w:rFonts w:ascii="Century Schoolbook" w:hAnsi="Century Schoolbook"/>
          <w:sz w:val="22"/>
          <w:szCs w:val="22"/>
        </w:rPr>
      </w:pPr>
    </w:p>
    <w:p w14:paraId="6CD4BDC4" w14:textId="77777777" w:rsidR="00F870A4" w:rsidRPr="00752CFE" w:rsidRDefault="005F0013" w:rsidP="00DB2DA8">
      <w:pPr>
        <w:spacing w:before="120" w:after="120" w:line="276" w:lineRule="auto"/>
        <w:jc w:val="both"/>
        <w:rPr>
          <w:rFonts w:ascii="Century Schoolbook" w:eastAsia="Century Schoolbook" w:hAnsi="Century Schoolbook" w:cs="Century Schoolbook"/>
          <w:color w:val="000000"/>
          <w:sz w:val="22"/>
          <w:szCs w:val="22"/>
        </w:rPr>
      </w:pPr>
      <w:r w:rsidRPr="00752CFE">
        <w:rPr>
          <w:rFonts w:ascii="Century Schoolbook" w:eastAsia="Century Schoolbook" w:hAnsi="Century Schoolbook" w:cs="Century Schoolbook"/>
          <w:b/>
          <w:sz w:val="22"/>
          <w:szCs w:val="22"/>
        </w:rPr>
        <w:t xml:space="preserve">5.  </w:t>
      </w:r>
      <w:r w:rsidRPr="00752CFE"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  <w:t xml:space="preserve">REKOMENDASI </w:t>
      </w:r>
    </w:p>
    <w:p w14:paraId="3880E8C9" w14:textId="77777777" w:rsidR="003A7D79" w:rsidRPr="00752CFE" w:rsidRDefault="003A7D79" w:rsidP="00752CFE">
      <w:pPr>
        <w:spacing w:line="276" w:lineRule="auto"/>
        <w:jc w:val="both"/>
        <w:rPr>
          <w:rFonts w:ascii="Century Schoolbook" w:hAnsi="Century Schoolbook" w:cs="Times New Roman"/>
          <w:sz w:val="22"/>
          <w:szCs w:val="22"/>
          <w:lang w:val="sv-SE"/>
        </w:rPr>
      </w:pPr>
      <w:r w:rsidRPr="00752CFE">
        <w:rPr>
          <w:rFonts w:ascii="Century Schoolbook" w:hAnsi="Century Schoolbook" w:cs="Times New Roman"/>
          <w:sz w:val="22"/>
          <w:szCs w:val="22"/>
          <w:lang w:val="sv-SE"/>
        </w:rPr>
        <w:t xml:space="preserve">Berdasarkan temuan penelitian, investor disarankan untuk fokus pada analisis fundamental terutama DER dan ROE, menerapkan </w:t>
      </w:r>
      <w:r w:rsidRPr="00752CFE">
        <w:rPr>
          <w:rFonts w:ascii="Century Schoolbook" w:hAnsi="Century Schoolbook" w:cs="Times New Roman"/>
          <w:i/>
          <w:iCs/>
          <w:sz w:val="22"/>
          <w:szCs w:val="22"/>
          <w:lang w:val="sv-SE"/>
        </w:rPr>
        <w:t>position sizing</w:t>
      </w:r>
      <w:r w:rsidRPr="00752CFE">
        <w:rPr>
          <w:rFonts w:ascii="Century Schoolbook" w:hAnsi="Century Schoolbook" w:cs="Times New Roman"/>
          <w:sz w:val="22"/>
          <w:szCs w:val="22"/>
          <w:lang w:val="sv-SE"/>
        </w:rPr>
        <w:t xml:space="preserve"> maksimal 10-15% portofolio, serta mengadopsi strategi investasi jangka panjang (3-5 tahun) mengingat volatilitas yang tinggi. Penelitian lanjutan dapat mengeksplorasi model </w:t>
      </w:r>
      <w:r w:rsidRPr="00752CFE">
        <w:rPr>
          <w:rFonts w:ascii="Century Schoolbook" w:hAnsi="Century Schoolbook" w:cs="Times New Roman"/>
          <w:i/>
          <w:iCs/>
          <w:sz w:val="22"/>
          <w:szCs w:val="22"/>
          <w:lang w:val="sv-SE"/>
        </w:rPr>
        <w:t>ensemble</w:t>
      </w:r>
      <w:r w:rsidRPr="00752CFE">
        <w:rPr>
          <w:rFonts w:ascii="Century Schoolbook" w:hAnsi="Century Schoolbook" w:cs="Times New Roman"/>
          <w:sz w:val="22"/>
          <w:szCs w:val="22"/>
          <w:lang w:val="sv-SE"/>
        </w:rPr>
        <w:t xml:space="preserve"> dan arsitektur </w:t>
      </w:r>
      <w:r w:rsidRPr="00752CFE">
        <w:rPr>
          <w:rFonts w:ascii="Century Schoolbook" w:hAnsi="Century Schoolbook" w:cs="Times New Roman"/>
          <w:i/>
          <w:iCs/>
          <w:sz w:val="22"/>
          <w:szCs w:val="22"/>
          <w:lang w:val="sv-SE"/>
        </w:rPr>
        <w:t>deep learning</w:t>
      </w:r>
      <w:r w:rsidRPr="00752CFE">
        <w:rPr>
          <w:rFonts w:ascii="Century Schoolbook" w:hAnsi="Century Schoolbook" w:cs="Times New Roman"/>
          <w:sz w:val="22"/>
          <w:szCs w:val="22"/>
          <w:lang w:val="sv-SE"/>
        </w:rPr>
        <w:t xml:space="preserve"> seperti LSTM, serta mengintegrasikan data alternatif seperti </w:t>
      </w:r>
      <w:r w:rsidRPr="00752CFE">
        <w:rPr>
          <w:rFonts w:ascii="Century Schoolbook" w:hAnsi="Century Schoolbook" w:cs="Times New Roman"/>
          <w:i/>
          <w:iCs/>
          <w:sz w:val="22"/>
          <w:szCs w:val="22"/>
          <w:lang w:val="sv-SE"/>
        </w:rPr>
        <w:t>sentiment analysis</w:t>
      </w:r>
      <w:r w:rsidRPr="00752CFE">
        <w:rPr>
          <w:rFonts w:ascii="Century Schoolbook" w:hAnsi="Century Schoolbook" w:cs="Times New Roman"/>
          <w:sz w:val="22"/>
          <w:szCs w:val="22"/>
          <w:lang w:val="sv-SE"/>
        </w:rPr>
        <w:t xml:space="preserve"> untuk meningkatkan akurasi prediksi. Praktisi keuangan dapat memanfaatkan framework ini untuk mengembangkan sistem </w:t>
      </w:r>
      <w:r w:rsidRPr="00752CFE">
        <w:rPr>
          <w:rFonts w:ascii="Century Schoolbook" w:hAnsi="Century Schoolbook" w:cs="Times New Roman"/>
          <w:i/>
          <w:iCs/>
          <w:sz w:val="22"/>
          <w:szCs w:val="22"/>
          <w:lang w:val="sv-SE"/>
        </w:rPr>
        <w:t>early warning</w:t>
      </w:r>
      <w:r w:rsidRPr="00752CFE">
        <w:rPr>
          <w:rFonts w:ascii="Century Schoolbook" w:hAnsi="Century Schoolbook" w:cs="Times New Roman"/>
          <w:sz w:val="22"/>
          <w:szCs w:val="22"/>
          <w:lang w:val="sv-SE"/>
        </w:rPr>
        <w:t xml:space="preserve"> dan </w:t>
      </w:r>
      <w:r w:rsidRPr="00752CFE">
        <w:rPr>
          <w:rFonts w:ascii="Century Schoolbook" w:hAnsi="Century Schoolbook" w:cs="Times New Roman"/>
          <w:i/>
          <w:iCs/>
          <w:sz w:val="22"/>
          <w:szCs w:val="22"/>
          <w:lang w:val="sv-SE"/>
        </w:rPr>
        <w:t>stress testing</w:t>
      </w:r>
      <w:r w:rsidRPr="00752CFE">
        <w:rPr>
          <w:rFonts w:ascii="Century Schoolbook" w:hAnsi="Century Schoolbook" w:cs="Times New Roman"/>
          <w:sz w:val="22"/>
          <w:szCs w:val="22"/>
          <w:lang w:val="sv-SE"/>
        </w:rPr>
        <w:t xml:space="preserve"> portofolio berbasis metrik risiko historis.</w:t>
      </w:r>
    </w:p>
    <w:p w14:paraId="446F461B" w14:textId="77777777" w:rsidR="003A7D79" w:rsidRPr="00752CFE" w:rsidRDefault="003A7D79" w:rsidP="00752CFE">
      <w:pPr>
        <w:spacing w:after="240" w:line="276" w:lineRule="auto"/>
        <w:jc w:val="both"/>
        <w:rPr>
          <w:rFonts w:ascii="Century Schoolbook" w:eastAsia="Century Schoolbook" w:hAnsi="Century Schoolbook" w:cs="Century Schoolbook"/>
          <w:color w:val="000000"/>
        </w:rPr>
      </w:pPr>
    </w:p>
    <w:p w14:paraId="7BE1408A" w14:textId="77777777" w:rsidR="00752CFE" w:rsidRDefault="00752CFE" w:rsidP="00752CF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  <w:br w:type="page"/>
      </w:r>
    </w:p>
    <w:p w14:paraId="0B75D9F5" w14:textId="57DCE612" w:rsidR="00F870A4" w:rsidRPr="00752CFE" w:rsidRDefault="00CE0B44" w:rsidP="00752CF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</w:pPr>
      <w:r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  <w:lastRenderedPageBreak/>
        <w:t>6</w:t>
      </w:r>
      <w:r w:rsidR="005F0013" w:rsidRPr="00752CFE">
        <w:rPr>
          <w:rFonts w:ascii="Century Schoolbook" w:eastAsia="Century Schoolbook" w:hAnsi="Century Schoolbook" w:cs="Century Schoolbook"/>
          <w:b/>
          <w:color w:val="000000"/>
          <w:sz w:val="22"/>
          <w:szCs w:val="22"/>
        </w:rPr>
        <w:t xml:space="preserve">.  REFERENSI </w:t>
      </w:r>
    </w:p>
    <w:p w14:paraId="43374E2A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Anam, K., Arif, M., &amp; Susanti, R. (2021). Value-at-Risk analysis in risk measurement and formation of optimal portfolio in banking share.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JBTI: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Jurnal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Bisnis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 Teori dan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Implementasi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, 12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(2), 122–135.</w:t>
      </w:r>
    </w:p>
    <w:p w14:paraId="3BBE8A02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Andrika, M. Y., &amp;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Rahardi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, M. (2025). Comparative study of linear regression, SVR, and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XGBoost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for stock price prediction after a stock split.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Journal of Applied Informatics and Computation (JAIC), 9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(4), 1817–1824.</w:t>
      </w:r>
    </w:p>
    <w:p w14:paraId="17C14605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Basak, S., Kar, S., Saha, S.,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Khaidem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, L., &amp; Dey, S. R. (2019). Stock return prediction using machine learning classifiers. In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Atlantis Press Proceedings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(pp. 239–243). </w:t>
      </w:r>
    </w:p>
    <w:p w14:paraId="6CA7F8BE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Chen, Y., &amp; Wang, L. (2024). Stock forecasts based on the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XGBoost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model. In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Proceedings of the ACM International Conference on Computing and Artificial Intelligence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(pp. 1–8).</w:t>
      </w:r>
    </w:p>
    <w:p w14:paraId="02FE8371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Hidayat, R., &amp; Nugroho, A. (2024). The influence of reference coal price and inflation on the share price of PT Adaro Energy Indonesia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Tbk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.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Indonesia Auditing Research Journal, 13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(2), 107–113.</w:t>
      </w:r>
    </w:p>
    <w:p w14:paraId="7905479C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Kurniansyah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, J., Gusti, S. K., Yanto, F., &amp;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Affandes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, M. (2025).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Implementasi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model long </w:t>
      </w:r>
      <w:proofErr w:type="gram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short term</w:t>
      </w:r>
      <w:proofErr w:type="gram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memory (LSTM)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dalam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prediksi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harga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saham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.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Bulletin of Information Technology (BIT), 6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(2), 79–86.</w:t>
      </w:r>
    </w:p>
    <w:p w14:paraId="5A992967" w14:textId="77777777" w:rsidR="00600C6C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Mendes, B. V. M., &amp; Leal, R. P. C. (2017). Implementing and testing the maximum drawdown at risk.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Finance Research Letters, 22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, 95–100. </w:t>
      </w:r>
    </w:p>
    <w:p w14:paraId="40D63D65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Munthe, I. R.,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Simbolon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, H., &amp; Pratama, R. (2024). Implementation of stacking technique combining machine learning and deep learning algorithms using SMOTE to improve stock market prediction accuracy.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Journal of Applied Data Sciences, 5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(4), 1–15.</w:t>
      </w:r>
    </w:p>
    <w:p w14:paraId="75FE1186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Novita, M., &amp;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Nachrowi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, N. D. (2005).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Penerapan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Vector Auto Regression (VAR) pada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variabel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makro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ekonomi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dan pasar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saham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di Bursa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Efek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Indonesia.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Jurnal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Ilmu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Manajemen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, 2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(1), 45–58.</w:t>
      </w:r>
    </w:p>
    <w:p w14:paraId="2EF3269C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Okonkwo, C. N., &amp;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Ezeife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, C. I. (2025). A comparative analysis of the performance of machine learning models (RF,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XGBoost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, LSTM) for stock price prediction.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Journal of Financial Risk Management, 14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(2), 1–18.</w:t>
      </w:r>
    </w:p>
    <w:p w14:paraId="411CFBEC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Pramana, S., &amp; Santoso, A. (2021). The stock exchange prediction using machine learning techniques: Evidence from Indonesia.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Jurnal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Ilmu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Komputer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 dan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Informasi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 (JIKI), 14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(2), 89–98.</w:t>
      </w:r>
    </w:p>
    <w:p w14:paraId="0FF970FE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Pratama, R., &amp; Wijaya, H. (2025). Enhancing stock price prediction using stacked long short-term memory.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IT Journal Research and Development (ITJRD), 9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(2), 156–167.</w:t>
      </w:r>
    </w:p>
    <w:p w14:paraId="6F707518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Putra, A. R., &amp; Setiawan, D. (2025). Shifting the relationship between market sentiment, market volume, and stock volatility using VAR model.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Eduvest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 – Journal of Universal Studies, 5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(4), 3421–3435.</w:t>
      </w:r>
    </w:p>
    <w:p w14:paraId="48491C18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Rahman, A., Putri, D. N., &amp; Sari, M. (2023). Effect of profitability, debt and market ratios on stock return of non-bank companies. In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Seminar Nasional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Fakultas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Manajemen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 Indonesia Proceedings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(pp. 245–258).</w:t>
      </w:r>
    </w:p>
    <w:p w14:paraId="37C7A0A8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Rosadi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, D., &amp;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Prastyo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, D. D. (2018). Vector autoregressive (VAR)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untuk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peramalan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harga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saham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PT Indofood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Sukses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Makmur.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Media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Statistika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, 11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(1), 27–38.</w:t>
      </w:r>
    </w:p>
    <w:p w14:paraId="006B2201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Santoso, B., &amp; Hidayat, R. (2020).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Pemodelan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harga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saham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blue chip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menggunakan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Vector Autoregressive (VAR). </w:t>
      </w:r>
      <w:proofErr w:type="spellStart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Jurnal</w:t>
      </w:r>
      <w:proofErr w:type="spellEnd"/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 xml:space="preserve"> Ekonomi Bisnis STIE Wiraraja, 6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(2), 112–124.</w:t>
      </w:r>
    </w:p>
    <w:p w14:paraId="29043317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lastRenderedPageBreak/>
        <w:t xml:space="preserve">Setiawan, B., &amp; Hadiyanto, D. (2022). Stock prediction for Indonesia Stock Exchange with long-short term memory.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Procedia Computer Science, 197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, 128–135.</w:t>
      </w:r>
    </w:p>
    <w:p w14:paraId="2128D213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Sharma, R., Kumar, A., &amp; Singh, P. (2024). A comparative analysis of LSTM, ARIMA, </w:t>
      </w:r>
      <w:proofErr w:type="spellStart"/>
      <w:r w:rsidRPr="00752CFE">
        <w:rPr>
          <w:rFonts w:ascii="Century Schoolbook" w:eastAsia="Times New Roman" w:hAnsi="Century Schoolbook" w:cs="Times New Roman"/>
          <w:sz w:val="20"/>
          <w:szCs w:val="20"/>
        </w:rPr>
        <w:t>XGBoost</w:t>
      </w:r>
      <w:proofErr w:type="spellEnd"/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 algorithms in predicting stock price direction.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Engineering and Technology Journal, 9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(8), 4978–4986.</w:t>
      </w:r>
    </w:p>
    <w:p w14:paraId="360FE447" w14:textId="77777777" w:rsidR="003A7D79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Wijaya, S., &amp; Kusuma, H. (2023). Value at risk analysis using historical method and Monte Carlo simulation on Indonesia Stock Exchange.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International Journal of Accounting and Management Business (IJAMB), 2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>(1), 35–47.</w:t>
      </w:r>
    </w:p>
    <w:p w14:paraId="1AB550EC" w14:textId="77777777" w:rsidR="00F870A4" w:rsidRPr="00752CFE" w:rsidRDefault="003A7D79" w:rsidP="00DB2DA8">
      <w:pPr>
        <w:spacing w:after="120"/>
        <w:ind w:left="720" w:hanging="720"/>
        <w:jc w:val="both"/>
        <w:rPr>
          <w:rFonts w:ascii="Century Schoolbook" w:eastAsia="Times New Roman" w:hAnsi="Century Schoolbook" w:cs="Times New Roman"/>
          <w:sz w:val="20"/>
          <w:szCs w:val="20"/>
        </w:rPr>
      </w:pP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Zabarankin, M., Pavlikov, K., &amp; Uryasev, S. (2021). Mean-maximum drawdown optimization of buy-and-hold portfolios. </w:t>
      </w:r>
      <w:r w:rsidRPr="00752CFE">
        <w:rPr>
          <w:rFonts w:ascii="Century Schoolbook" w:eastAsia="Times New Roman" w:hAnsi="Century Schoolbook" w:cs="Times New Roman"/>
          <w:i/>
          <w:iCs/>
          <w:sz w:val="20"/>
          <w:szCs w:val="20"/>
        </w:rPr>
        <w:t>SSRN Electronic Journal</w:t>
      </w:r>
      <w:r w:rsidRPr="00752CFE">
        <w:rPr>
          <w:rFonts w:ascii="Century Schoolbook" w:eastAsia="Times New Roman" w:hAnsi="Century Schoolbook" w:cs="Times New Roman"/>
          <w:sz w:val="20"/>
          <w:szCs w:val="20"/>
        </w:rPr>
        <w:t xml:space="preserve">, 1–28. </w:t>
      </w:r>
    </w:p>
    <w:sectPr w:rsidR="00F870A4" w:rsidRPr="00752CFE" w:rsidSect="000C417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1134" w:footer="1134" w:gutter="0"/>
      <w:pgNumType w:start="204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53E1" w14:textId="77777777" w:rsidR="00266D92" w:rsidRDefault="00266D92">
      <w:r>
        <w:separator/>
      </w:r>
    </w:p>
  </w:endnote>
  <w:endnote w:type="continuationSeparator" w:id="0">
    <w:p w14:paraId="7ECCA6B2" w14:textId="77777777" w:rsidR="00266D92" w:rsidRDefault="0026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6E46" w14:textId="77777777" w:rsidR="00F870A4" w:rsidRDefault="00F870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11120" w:type="dxa"/>
      <w:tblInd w:w="-131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9"/>
      <w:gridCol w:w="8943"/>
      <w:gridCol w:w="758"/>
    </w:tblGrid>
    <w:tr w:rsidR="00F870A4" w14:paraId="6B3E5787" w14:textId="77777777" w:rsidTr="000C417A">
      <w:trPr>
        <w:trHeight w:val="223"/>
      </w:trPr>
      <w:tc>
        <w:tcPr>
          <w:tcW w:w="1419" w:type="dxa"/>
          <w:vAlign w:val="center"/>
        </w:tcPr>
        <w:p w14:paraId="0F0E68D8" w14:textId="77777777" w:rsidR="00F870A4" w:rsidRDefault="00F870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88"/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</w:pPr>
        </w:p>
      </w:tc>
      <w:tc>
        <w:tcPr>
          <w:tcW w:w="8943" w:type="dxa"/>
          <w:vAlign w:val="center"/>
        </w:tcPr>
        <w:p w14:paraId="36D8F226" w14:textId="77777777" w:rsidR="00F870A4" w:rsidRDefault="00F870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88"/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</w:pPr>
        </w:p>
        <w:p w14:paraId="3BCE60D0" w14:textId="4CCD6B33" w:rsidR="00F870A4" w:rsidRDefault="005F00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88"/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</w:pPr>
          <w:proofErr w:type="spellStart"/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Griya</w:t>
          </w:r>
          <w:proofErr w:type="spellEnd"/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 xml:space="preserve"> Journal of Mathematics Education and Application Volume </w:t>
          </w:r>
          <w:r w:rsidR="00041C63"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5</w:t>
          </w:r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Nomor</w:t>
          </w:r>
          <w:proofErr w:type="spellEnd"/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 xml:space="preserve"> </w:t>
          </w:r>
          <w:r w:rsidR="00041C63"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4</w:t>
          </w:r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 xml:space="preserve">, </w:t>
          </w:r>
          <w:proofErr w:type="spellStart"/>
          <w:r w:rsidR="00041C63"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Desember</w:t>
          </w:r>
          <w:proofErr w:type="spellEnd"/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 xml:space="preserve"> 202</w:t>
          </w:r>
          <w:r w:rsidR="00041C63"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5</w:t>
          </w:r>
        </w:p>
      </w:tc>
      <w:tc>
        <w:tcPr>
          <w:tcW w:w="758" w:type="dxa"/>
          <w:vAlign w:val="center"/>
        </w:tcPr>
        <w:p w14:paraId="7764F090" w14:textId="77777777" w:rsidR="00F870A4" w:rsidRDefault="00F870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42" w:right="-188"/>
            <w:rPr>
              <w:rFonts w:ascii="Century Schoolbook" w:eastAsia="Century Schoolbook" w:hAnsi="Century Schoolbook" w:cs="Century Schoolbook"/>
              <w:b/>
              <w:color w:val="000000"/>
              <w:sz w:val="20"/>
              <w:szCs w:val="20"/>
            </w:rPr>
          </w:pPr>
        </w:p>
        <w:p w14:paraId="766DBED1" w14:textId="77777777" w:rsidR="00F870A4" w:rsidRDefault="005F00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42" w:right="-188"/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</w:pPr>
          <w:r>
            <w:rPr>
              <w:rFonts w:ascii="Century Schoolbook" w:eastAsia="Century Schoolbook" w:hAnsi="Century Schoolbook" w:cs="Century Schoolbook"/>
              <w:b/>
              <w:color w:val="000000"/>
              <w:sz w:val="20"/>
              <w:szCs w:val="20"/>
            </w:rPr>
            <w:t>|</w:t>
          </w:r>
          <w:r>
            <w:rPr>
              <w:rFonts w:ascii="Century Schoolbook" w:eastAsia="Century Schoolbook" w:hAnsi="Century Schoolbook" w:cs="Century Schoolbook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Century Schoolbook" w:eastAsia="Century Schoolbook" w:hAnsi="Century Schoolbook" w:cs="Century Schoolbook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Century Schoolbook" w:eastAsia="Century Schoolbook" w:hAnsi="Century Schoolbook" w:cs="Century Schoolbook"/>
              <w:b/>
              <w:color w:val="000000"/>
              <w:sz w:val="20"/>
              <w:szCs w:val="20"/>
            </w:rPr>
            <w:fldChar w:fldCharType="separate"/>
          </w:r>
          <w:r w:rsidR="00752CFE">
            <w:rPr>
              <w:rFonts w:ascii="Century Schoolbook" w:eastAsia="Century Schoolbook" w:hAnsi="Century Schoolbook" w:cs="Century Schoolbook"/>
              <w:b/>
              <w:noProof/>
              <w:color w:val="000000"/>
              <w:sz w:val="20"/>
              <w:szCs w:val="20"/>
            </w:rPr>
            <w:t>13</w:t>
          </w:r>
          <w:r>
            <w:rPr>
              <w:rFonts w:ascii="Century Schoolbook" w:eastAsia="Century Schoolbook" w:hAnsi="Century Schoolbook" w:cs="Century Schoolbook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51B0BCC5" w14:textId="77777777" w:rsidR="00F870A4" w:rsidRDefault="00F870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entury Schoolbook" w:eastAsia="Century Schoolbook" w:hAnsi="Century Schoolbook" w:cs="Century Schoolbook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8D98" w14:textId="77777777" w:rsidR="00F870A4" w:rsidRDefault="00F870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entury Schoolbook" w:eastAsia="Century Schoolbook" w:hAnsi="Century Schoolbook" w:cs="Century Schoolbook"/>
        <w:color w:val="000000"/>
        <w:sz w:val="20"/>
        <w:szCs w:val="20"/>
      </w:rPr>
    </w:pPr>
  </w:p>
  <w:tbl>
    <w:tblPr>
      <w:tblStyle w:val="a3"/>
      <w:tblW w:w="11605" w:type="dxa"/>
      <w:tblInd w:w="-142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9"/>
      <w:gridCol w:w="8944"/>
      <w:gridCol w:w="1242"/>
    </w:tblGrid>
    <w:tr w:rsidR="00F870A4" w14:paraId="7757D377" w14:textId="77777777">
      <w:trPr>
        <w:trHeight w:val="223"/>
      </w:trPr>
      <w:tc>
        <w:tcPr>
          <w:tcW w:w="1419" w:type="dxa"/>
          <w:vAlign w:val="center"/>
        </w:tcPr>
        <w:p w14:paraId="775EFDCC" w14:textId="77777777" w:rsidR="00F870A4" w:rsidRDefault="00F870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88"/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</w:pPr>
        </w:p>
      </w:tc>
      <w:tc>
        <w:tcPr>
          <w:tcW w:w="8944" w:type="dxa"/>
          <w:vAlign w:val="center"/>
        </w:tcPr>
        <w:p w14:paraId="123B6570" w14:textId="77777777" w:rsidR="00F870A4" w:rsidRDefault="00F870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88"/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</w:pPr>
        </w:p>
        <w:p w14:paraId="0BAF2393" w14:textId="11D8F128" w:rsidR="00F870A4" w:rsidRDefault="005F00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88"/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</w:pPr>
          <w:proofErr w:type="spellStart"/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Griya</w:t>
          </w:r>
          <w:proofErr w:type="spellEnd"/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 xml:space="preserve"> Journal of Mathematics Education and Application Volume </w:t>
          </w:r>
          <w:r w:rsidR="0048798C"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5</w:t>
          </w:r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Nomor</w:t>
          </w:r>
          <w:proofErr w:type="spellEnd"/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 xml:space="preserve"> </w:t>
          </w:r>
          <w:r w:rsidR="0048798C"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4</w:t>
          </w:r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,</w:t>
          </w:r>
          <w:r w:rsidR="0048798C"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 xml:space="preserve"> </w:t>
          </w:r>
          <w:proofErr w:type="spellStart"/>
          <w:r w:rsidR="0048798C"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Desember</w:t>
          </w:r>
          <w:proofErr w:type="spellEnd"/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 xml:space="preserve"> 202</w:t>
          </w:r>
          <w:r w:rsidR="0048798C"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5</w:t>
          </w:r>
        </w:p>
      </w:tc>
      <w:tc>
        <w:tcPr>
          <w:tcW w:w="1242" w:type="dxa"/>
          <w:vAlign w:val="center"/>
        </w:tcPr>
        <w:p w14:paraId="58F4867B" w14:textId="77777777" w:rsidR="00F870A4" w:rsidRDefault="00F870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42" w:right="-188"/>
            <w:rPr>
              <w:rFonts w:ascii="Century Schoolbook" w:eastAsia="Century Schoolbook" w:hAnsi="Century Schoolbook" w:cs="Century Schoolbook"/>
              <w:b/>
              <w:color w:val="000000"/>
              <w:sz w:val="20"/>
              <w:szCs w:val="20"/>
            </w:rPr>
          </w:pPr>
        </w:p>
        <w:p w14:paraId="37D812D9" w14:textId="77777777" w:rsidR="00F870A4" w:rsidRDefault="005F00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42" w:right="-188"/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</w:pPr>
          <w:r>
            <w:rPr>
              <w:rFonts w:ascii="Century Schoolbook" w:eastAsia="Century Schoolbook" w:hAnsi="Century Schoolbook" w:cs="Century Schoolbook"/>
              <w:b/>
              <w:color w:val="000000"/>
              <w:sz w:val="20"/>
              <w:szCs w:val="20"/>
            </w:rPr>
            <w:t>|</w:t>
          </w:r>
          <w:r>
            <w:rPr>
              <w:rFonts w:ascii="Century Schoolbook" w:eastAsia="Century Schoolbook" w:hAnsi="Century Schoolbook" w:cs="Century Schoolbook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Century Schoolbook" w:eastAsia="Century Schoolbook" w:hAnsi="Century Schoolbook" w:cs="Century Schoolbook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Century Schoolbook" w:eastAsia="Century Schoolbook" w:hAnsi="Century Schoolbook" w:cs="Century Schoolbook"/>
              <w:b/>
              <w:color w:val="000000"/>
              <w:sz w:val="20"/>
              <w:szCs w:val="20"/>
            </w:rPr>
            <w:fldChar w:fldCharType="separate"/>
          </w:r>
          <w:r w:rsidR="004B7567">
            <w:rPr>
              <w:rFonts w:ascii="Century Schoolbook" w:eastAsia="Century Schoolbook" w:hAnsi="Century Schoolbook" w:cs="Century Schoolbook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Century Schoolbook" w:eastAsia="Century Schoolbook" w:hAnsi="Century Schoolbook" w:cs="Century Schoolbook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F5864C0" w14:textId="77777777" w:rsidR="00F870A4" w:rsidRDefault="00F870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D863" w14:textId="77777777" w:rsidR="00266D92" w:rsidRDefault="00266D92">
      <w:r>
        <w:separator/>
      </w:r>
    </w:p>
  </w:footnote>
  <w:footnote w:type="continuationSeparator" w:id="0">
    <w:p w14:paraId="77D9EF2A" w14:textId="77777777" w:rsidR="00266D92" w:rsidRDefault="0026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FCCE" w14:textId="77777777" w:rsidR="00F870A4" w:rsidRDefault="00F870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entury Schoolbook" w:eastAsia="Century Schoolbook" w:hAnsi="Century Schoolbook" w:cs="Century Schoolbook"/>
        <w:color w:val="000000"/>
        <w:sz w:val="20"/>
        <w:szCs w:val="20"/>
      </w:rPr>
    </w:pPr>
  </w:p>
  <w:tbl>
    <w:tblPr>
      <w:tblStyle w:val="a1"/>
      <w:tblW w:w="9016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08"/>
      <w:gridCol w:w="4508"/>
    </w:tblGrid>
    <w:tr w:rsidR="00F870A4" w14:paraId="1FF04346" w14:textId="77777777">
      <w:trPr>
        <w:jc w:val="center"/>
      </w:trPr>
      <w:tc>
        <w:tcPr>
          <w:tcW w:w="4508" w:type="dxa"/>
          <w:tcBorders>
            <w:bottom w:val="single" w:sz="24" w:space="0" w:color="A8D08D"/>
          </w:tcBorders>
        </w:tcPr>
        <w:p w14:paraId="031D2416" w14:textId="77777777" w:rsidR="00F870A4" w:rsidRDefault="005F00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</w:pPr>
          <w:r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  <w:t>Author et al</w:t>
          </w:r>
        </w:p>
      </w:tc>
      <w:tc>
        <w:tcPr>
          <w:tcW w:w="4508" w:type="dxa"/>
          <w:tcBorders>
            <w:bottom w:val="single" w:sz="24" w:space="0" w:color="A8D08D"/>
          </w:tcBorders>
        </w:tcPr>
        <w:p w14:paraId="0FFE0AC8" w14:textId="77777777" w:rsidR="00F870A4" w:rsidRDefault="005F00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</w:pPr>
          <w:r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  <w:t xml:space="preserve">4 kata pada </w:t>
          </w:r>
          <w:proofErr w:type="spellStart"/>
          <w:r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  <w:t>judul</w:t>
          </w:r>
          <w:proofErr w:type="spellEnd"/>
          <w:r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  <w:t>artikel</w:t>
          </w:r>
          <w:proofErr w:type="spellEnd"/>
          <w:r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 xml:space="preserve"> …</w:t>
          </w:r>
        </w:p>
      </w:tc>
    </w:tr>
  </w:tbl>
  <w:p w14:paraId="5F5189C7" w14:textId="77777777" w:rsidR="00F870A4" w:rsidRDefault="00F870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entury Schoolbook" w:eastAsia="Century Schoolbook" w:hAnsi="Century Schoolbook" w:cs="Century Schoolbook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E14D" w14:textId="77777777" w:rsidR="00F870A4" w:rsidRDefault="00F870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entury Schoolbook" w:eastAsia="Century Schoolbook" w:hAnsi="Century Schoolbook" w:cs="Century Schoolbook"/>
        <w:color w:val="000000"/>
        <w:sz w:val="20"/>
        <w:szCs w:val="20"/>
      </w:rPr>
    </w:pPr>
  </w:p>
  <w:tbl>
    <w:tblPr>
      <w:tblStyle w:val="a0"/>
      <w:tblW w:w="9016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08"/>
      <w:gridCol w:w="4508"/>
    </w:tblGrid>
    <w:tr w:rsidR="00F870A4" w14:paraId="5551AF72" w14:textId="77777777">
      <w:trPr>
        <w:jc w:val="center"/>
      </w:trPr>
      <w:tc>
        <w:tcPr>
          <w:tcW w:w="4508" w:type="dxa"/>
        </w:tcPr>
        <w:p w14:paraId="1B9DF834" w14:textId="648BDD09" w:rsidR="00F870A4" w:rsidRDefault="004879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</w:pPr>
          <w:r w:rsidRPr="0048798C"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  <w:t>Tampubolon</w:t>
          </w:r>
          <w:r w:rsidR="005F0013"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  <w:t xml:space="preserve"> et al</w:t>
          </w:r>
        </w:p>
      </w:tc>
      <w:tc>
        <w:tcPr>
          <w:tcW w:w="4508" w:type="dxa"/>
        </w:tcPr>
        <w:p w14:paraId="1647A355" w14:textId="2E4540D5" w:rsidR="00F870A4" w:rsidRDefault="004879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</w:pPr>
          <w:r w:rsidRPr="0048798C"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  <w:t xml:space="preserve">Integrasi </w:t>
          </w:r>
          <w:proofErr w:type="spellStart"/>
          <w:r w:rsidRPr="0048798C"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  <w:t>Keuangan</w:t>
          </w:r>
          <w:proofErr w:type="spellEnd"/>
          <w:r w:rsidRPr="0048798C">
            <w:rPr>
              <w:rFonts w:ascii="Century Schoolbook" w:eastAsia="Century Schoolbook" w:hAnsi="Century Schoolbook" w:cs="Century Schoolbook"/>
              <w:color w:val="000000"/>
              <w:sz w:val="20"/>
              <w:szCs w:val="20"/>
            </w:rPr>
            <w:t xml:space="preserve"> Modern dan </w:t>
          </w:r>
          <w:r w:rsidR="005F0013">
            <w:rPr>
              <w:rFonts w:ascii="Century Schoolbook" w:eastAsia="Century Schoolbook" w:hAnsi="Century Schoolbook" w:cs="Century Schoolbook"/>
              <w:i/>
              <w:color w:val="000000"/>
              <w:sz w:val="20"/>
              <w:szCs w:val="20"/>
            </w:rPr>
            <w:t>…</w:t>
          </w:r>
        </w:p>
      </w:tc>
    </w:tr>
  </w:tbl>
  <w:p w14:paraId="39C491C4" w14:textId="77777777" w:rsidR="00F870A4" w:rsidRDefault="00F870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entury Schoolbook" w:eastAsia="Century Schoolbook" w:hAnsi="Century Schoolbook" w:cs="Century Schoolbook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8463" w14:textId="77777777" w:rsidR="00F870A4" w:rsidRDefault="005F0013">
    <w:pPr>
      <w:pBdr>
        <w:top w:val="single" w:sz="4" w:space="1" w:color="000000"/>
        <w:left w:val="nil"/>
        <w:bottom w:val="single" w:sz="12" w:space="3" w:color="000000"/>
        <w:right w:val="nil"/>
        <w:between w:val="nil"/>
      </w:pBdr>
      <w:shd w:val="clear" w:color="auto" w:fill="FFFFFF"/>
      <w:tabs>
        <w:tab w:val="center" w:pos="4680"/>
        <w:tab w:val="right" w:pos="9360"/>
      </w:tabs>
      <w:jc w:val="right"/>
      <w:rPr>
        <w:rFonts w:ascii="Century Schoolbook" w:eastAsia="Century Schoolbook" w:hAnsi="Century Schoolbook" w:cs="Century Schoolbook"/>
        <w:color w:val="000000"/>
        <w:sz w:val="28"/>
        <w:szCs w:val="28"/>
        <w:highlight w:val="white"/>
      </w:rPr>
    </w:pPr>
    <w:bookmarkStart w:id="1" w:name="_heading=h.1fob9te" w:colFirst="0" w:colLast="0"/>
    <w:bookmarkEnd w:id="1"/>
    <w:proofErr w:type="spellStart"/>
    <w:r>
      <w:rPr>
        <w:rFonts w:ascii="Century Schoolbook" w:eastAsia="Century Schoolbook" w:hAnsi="Century Schoolbook" w:cs="Century Schoolbook"/>
        <w:color w:val="000000"/>
        <w:sz w:val="28"/>
        <w:szCs w:val="28"/>
        <w:highlight w:val="white"/>
      </w:rPr>
      <w:t>Griya</w:t>
    </w:r>
    <w:proofErr w:type="spellEnd"/>
    <w:r>
      <w:rPr>
        <w:rFonts w:ascii="Century Schoolbook" w:eastAsia="Century Schoolbook" w:hAnsi="Century Schoolbook" w:cs="Century Schoolbook"/>
        <w:color w:val="000000"/>
        <w:sz w:val="28"/>
        <w:szCs w:val="28"/>
        <w:highlight w:val="white"/>
      </w:rPr>
      <w:t xml:space="preserve"> Journal of Mathematics Education and Application</w:t>
    </w:r>
    <w:r>
      <w:rPr>
        <w:rFonts w:ascii="Century Schoolbook" w:eastAsia="Century Schoolbook" w:hAnsi="Century Schoolbook" w:cs="Century Schoolbook"/>
        <w:color w:val="000000"/>
        <w:sz w:val="28"/>
        <w:szCs w:val="28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3B1AB89" wp14:editId="220E4FAF">
          <wp:simplePos x="0" y="0"/>
          <wp:positionH relativeFrom="column">
            <wp:posOffset>47709</wp:posOffset>
          </wp:positionH>
          <wp:positionV relativeFrom="paragraph">
            <wp:posOffset>35284</wp:posOffset>
          </wp:positionV>
          <wp:extent cx="683813" cy="683813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813" cy="683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DB87C8" w14:textId="15D57FCA" w:rsidR="00F870A4" w:rsidRDefault="005F0013">
    <w:pPr>
      <w:pBdr>
        <w:top w:val="single" w:sz="4" w:space="1" w:color="000000"/>
        <w:left w:val="nil"/>
        <w:bottom w:val="single" w:sz="12" w:space="3" w:color="000000"/>
        <w:right w:val="nil"/>
        <w:between w:val="nil"/>
      </w:pBdr>
      <w:shd w:val="clear" w:color="auto" w:fill="FFFFFF"/>
      <w:tabs>
        <w:tab w:val="center" w:pos="4680"/>
        <w:tab w:val="right" w:pos="9360"/>
      </w:tabs>
      <w:jc w:val="right"/>
      <w:rPr>
        <w:rFonts w:ascii="Century Schoolbook" w:eastAsia="Century Schoolbook" w:hAnsi="Century Schoolbook" w:cs="Century Schoolbook"/>
        <w:color w:val="000000"/>
      </w:rPr>
    </w:pPr>
    <w:r>
      <w:rPr>
        <w:rFonts w:ascii="Century Schoolbook" w:eastAsia="Century Schoolbook" w:hAnsi="Century Schoolbook" w:cs="Century Schoolbook"/>
        <w:color w:val="000000"/>
      </w:rPr>
      <w:t xml:space="preserve">Volume </w:t>
    </w:r>
    <w:r w:rsidR="008E3B27">
      <w:rPr>
        <w:rFonts w:ascii="Century Schoolbook" w:eastAsia="Century Schoolbook" w:hAnsi="Century Schoolbook" w:cs="Century Schoolbook"/>
        <w:color w:val="000000"/>
      </w:rPr>
      <w:t>5</w:t>
    </w:r>
    <w:r>
      <w:rPr>
        <w:rFonts w:ascii="Century Schoolbook" w:eastAsia="Century Schoolbook" w:hAnsi="Century Schoolbook" w:cs="Century Schoolbook"/>
        <w:color w:val="000000"/>
      </w:rPr>
      <w:t xml:space="preserve"> </w:t>
    </w:r>
    <w:proofErr w:type="spellStart"/>
    <w:r>
      <w:rPr>
        <w:rFonts w:ascii="Century Schoolbook" w:eastAsia="Century Schoolbook" w:hAnsi="Century Schoolbook" w:cs="Century Schoolbook"/>
        <w:color w:val="000000"/>
      </w:rPr>
      <w:t>Nomor</w:t>
    </w:r>
    <w:proofErr w:type="spellEnd"/>
    <w:r>
      <w:rPr>
        <w:rFonts w:ascii="Century Schoolbook" w:eastAsia="Century Schoolbook" w:hAnsi="Century Schoolbook" w:cs="Century Schoolbook"/>
        <w:color w:val="000000"/>
      </w:rPr>
      <w:t xml:space="preserve"> </w:t>
    </w:r>
    <w:r w:rsidR="008E3B27">
      <w:rPr>
        <w:rFonts w:ascii="Century Schoolbook" w:eastAsia="Century Schoolbook" w:hAnsi="Century Schoolbook" w:cs="Century Schoolbook"/>
        <w:color w:val="000000"/>
      </w:rPr>
      <w:t>4</w:t>
    </w:r>
    <w:r>
      <w:rPr>
        <w:rFonts w:ascii="Century Schoolbook" w:eastAsia="Century Schoolbook" w:hAnsi="Century Schoolbook" w:cs="Century Schoolbook"/>
        <w:color w:val="000000"/>
      </w:rPr>
      <w:t xml:space="preserve">, </w:t>
    </w:r>
    <w:proofErr w:type="spellStart"/>
    <w:r w:rsidR="008E3B27">
      <w:rPr>
        <w:rFonts w:ascii="Century Schoolbook" w:eastAsia="Century Schoolbook" w:hAnsi="Century Schoolbook" w:cs="Century Schoolbook"/>
        <w:color w:val="000000"/>
      </w:rPr>
      <w:t>Desember</w:t>
    </w:r>
    <w:proofErr w:type="spellEnd"/>
    <w:r>
      <w:rPr>
        <w:rFonts w:ascii="Century Schoolbook" w:eastAsia="Century Schoolbook" w:hAnsi="Century Schoolbook" w:cs="Century Schoolbook"/>
        <w:color w:val="000000"/>
      </w:rPr>
      <w:t xml:space="preserve"> 202</w:t>
    </w:r>
    <w:r w:rsidR="008E3B27">
      <w:rPr>
        <w:rFonts w:ascii="Century Schoolbook" w:eastAsia="Century Schoolbook" w:hAnsi="Century Schoolbook" w:cs="Century Schoolbook"/>
        <w:color w:val="000000"/>
      </w:rPr>
      <w:t>5</w:t>
    </w:r>
  </w:p>
  <w:p w14:paraId="7CF4D7DF" w14:textId="77777777" w:rsidR="00F870A4" w:rsidRDefault="005F0013">
    <w:pPr>
      <w:pBdr>
        <w:top w:val="single" w:sz="4" w:space="1" w:color="000000"/>
        <w:left w:val="nil"/>
        <w:bottom w:val="single" w:sz="12" w:space="3" w:color="000000"/>
        <w:right w:val="nil"/>
        <w:between w:val="nil"/>
      </w:pBdr>
      <w:tabs>
        <w:tab w:val="center" w:pos="4680"/>
        <w:tab w:val="right" w:pos="9360"/>
      </w:tabs>
      <w:jc w:val="right"/>
      <w:rPr>
        <w:rFonts w:ascii="Century Schoolbook" w:eastAsia="Century Schoolbook" w:hAnsi="Century Schoolbook" w:cs="Century Schoolbook"/>
        <w:color w:val="000000"/>
        <w:sz w:val="18"/>
        <w:szCs w:val="18"/>
      </w:rPr>
    </w:pPr>
    <w:r>
      <w:rPr>
        <w:rFonts w:ascii="Century Schoolbook" w:eastAsia="Century Schoolbook" w:hAnsi="Century Schoolbook" w:cs="Century Schoolbook"/>
        <w:color w:val="000000"/>
        <w:sz w:val="18"/>
        <w:szCs w:val="18"/>
      </w:rPr>
      <w:t xml:space="preserve"> e-ISSN 2776-124X||p-ISSN 2776-1258</w:t>
    </w:r>
  </w:p>
  <w:p w14:paraId="580A8C82" w14:textId="77777777" w:rsidR="00F870A4" w:rsidRDefault="005F0013">
    <w:pPr>
      <w:pBdr>
        <w:top w:val="single" w:sz="4" w:space="1" w:color="000000"/>
        <w:left w:val="nil"/>
        <w:bottom w:val="single" w:sz="12" w:space="3" w:color="000000"/>
        <w:right w:val="nil"/>
        <w:between w:val="nil"/>
      </w:pBdr>
      <w:tabs>
        <w:tab w:val="center" w:pos="4680"/>
        <w:tab w:val="right" w:pos="9360"/>
      </w:tabs>
      <w:spacing w:before="20"/>
      <w:jc w:val="right"/>
      <w:rPr>
        <w:color w:val="000000"/>
      </w:rPr>
    </w:pPr>
    <w:hyperlink r:id="rId2">
      <w:r>
        <w:rPr>
          <w:rFonts w:ascii="Century Schoolbook" w:eastAsia="Century Schoolbook" w:hAnsi="Century Schoolbook" w:cs="Century Schoolbook"/>
          <w:color w:val="000000"/>
          <w:sz w:val="18"/>
          <w:szCs w:val="18"/>
          <w:u w:val="single"/>
        </w:rPr>
        <w:t>https://mathjournal.unram.ac.id/index.php/Griya/index</w:t>
      </w:r>
    </w:hyperlink>
  </w:p>
  <w:p w14:paraId="27BD32DE" w14:textId="77777777" w:rsidR="00F870A4" w:rsidRDefault="00F870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E3"/>
    <w:multiLevelType w:val="multilevel"/>
    <w:tmpl w:val="0472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46611"/>
    <w:multiLevelType w:val="hybridMultilevel"/>
    <w:tmpl w:val="2C785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C53FD"/>
    <w:multiLevelType w:val="multilevel"/>
    <w:tmpl w:val="A4E4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45DFC"/>
    <w:multiLevelType w:val="multilevel"/>
    <w:tmpl w:val="D348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E75AB"/>
    <w:multiLevelType w:val="multilevel"/>
    <w:tmpl w:val="CAE2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6517D4"/>
    <w:multiLevelType w:val="hybridMultilevel"/>
    <w:tmpl w:val="6E9E23FA"/>
    <w:lvl w:ilvl="0" w:tplc="B95463A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711FC"/>
    <w:multiLevelType w:val="multilevel"/>
    <w:tmpl w:val="4AF4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D4554"/>
    <w:multiLevelType w:val="multilevel"/>
    <w:tmpl w:val="B6B8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D391C"/>
    <w:multiLevelType w:val="hybridMultilevel"/>
    <w:tmpl w:val="A5EA82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615915">
    <w:abstractNumId w:val="6"/>
  </w:num>
  <w:num w:numId="2" w16cid:durableId="1376277422">
    <w:abstractNumId w:val="4"/>
  </w:num>
  <w:num w:numId="3" w16cid:durableId="528108688">
    <w:abstractNumId w:val="0"/>
  </w:num>
  <w:num w:numId="4" w16cid:durableId="2050033356">
    <w:abstractNumId w:val="7"/>
  </w:num>
  <w:num w:numId="5" w16cid:durableId="1683360003">
    <w:abstractNumId w:val="2"/>
  </w:num>
  <w:num w:numId="6" w16cid:durableId="1196844254">
    <w:abstractNumId w:val="3"/>
  </w:num>
  <w:num w:numId="7" w16cid:durableId="1843859646">
    <w:abstractNumId w:val="1"/>
  </w:num>
  <w:num w:numId="8" w16cid:durableId="91708574">
    <w:abstractNumId w:val="8"/>
  </w:num>
  <w:num w:numId="9" w16cid:durableId="725184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A4"/>
    <w:rsid w:val="00041C63"/>
    <w:rsid w:val="000C417A"/>
    <w:rsid w:val="000F132A"/>
    <w:rsid w:val="00115E57"/>
    <w:rsid w:val="0012568F"/>
    <w:rsid w:val="001E3149"/>
    <w:rsid w:val="0025671A"/>
    <w:rsid w:val="00266D92"/>
    <w:rsid w:val="002E5503"/>
    <w:rsid w:val="00307594"/>
    <w:rsid w:val="003A7D79"/>
    <w:rsid w:val="0048798C"/>
    <w:rsid w:val="004B7567"/>
    <w:rsid w:val="005569D8"/>
    <w:rsid w:val="005F0013"/>
    <w:rsid w:val="00600C6C"/>
    <w:rsid w:val="00623B6B"/>
    <w:rsid w:val="00752CFE"/>
    <w:rsid w:val="008E3B27"/>
    <w:rsid w:val="009964E3"/>
    <w:rsid w:val="00B737B3"/>
    <w:rsid w:val="00C64386"/>
    <w:rsid w:val="00CD5126"/>
    <w:rsid w:val="00CE0B44"/>
    <w:rsid w:val="00D340FB"/>
    <w:rsid w:val="00D40C43"/>
    <w:rsid w:val="00D61A4A"/>
    <w:rsid w:val="00DB2DA8"/>
    <w:rsid w:val="00F8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98C0"/>
  <w15:docId w15:val="{EEF90636-49BC-478E-B2E4-48288DB1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1E0F3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120" w:line="360" w:lineRule="auto"/>
      <w:outlineLvl w:val="0"/>
    </w:pPr>
    <w:rPr>
      <w:rFonts w:ascii="Times New Roman Bold" w:eastAsia="Times New Roman Bold" w:hAnsi="Times New Roman Bold" w:cs="Times New Roman Bold"/>
      <w:color w:val="000000"/>
      <w:sz w:val="28"/>
      <w:szCs w:val="20"/>
      <w:u w:color="000000"/>
      <w:bdr w:val="nil"/>
      <w:lang w:eastAsia="fi-FI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rsid w:val="001E0F3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120" w:line="360" w:lineRule="auto"/>
      <w:outlineLvl w:val="2"/>
    </w:pPr>
    <w:rPr>
      <w:rFonts w:ascii="Times New Roman" w:eastAsia="Times New Roman" w:hAnsi="Times New Roman" w:cs="Times New Roman"/>
      <w:color w:val="000000"/>
      <w:u w:color="000000"/>
      <w:bdr w:val="nil"/>
      <w:lang w:eastAsia="fi-FI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page-number"/>
    <w:basedOn w:val="Normal"/>
    <w:link w:val="HeaderChar"/>
    <w:uiPriority w:val="99"/>
    <w:unhideWhenUsed/>
    <w:rsid w:val="001E0F3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page-number Char"/>
    <w:basedOn w:val="DefaultParagraphFont"/>
    <w:link w:val="Header"/>
    <w:uiPriority w:val="99"/>
    <w:rsid w:val="001E0F3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0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F32"/>
    <w:rPr>
      <w:lang w:val="en-US"/>
    </w:rPr>
  </w:style>
  <w:style w:type="character" w:styleId="Hyperlink">
    <w:name w:val="Hyperlink"/>
    <w:uiPriority w:val="99"/>
    <w:unhideWhenUsed/>
    <w:rsid w:val="001E0F3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0F32"/>
    <w:rPr>
      <w:rFonts w:ascii="Times New Roman Bold" w:eastAsia="Times New Roman Bold" w:hAnsi="Times New Roman Bold" w:cs="Times New Roman Bold"/>
      <w:color w:val="000000"/>
      <w:sz w:val="28"/>
      <w:szCs w:val="20"/>
      <w:u w:color="000000"/>
      <w:bdr w:val="nil"/>
      <w:lang w:val="en-US" w:eastAsia="fi-FI"/>
    </w:rPr>
  </w:style>
  <w:style w:type="character" w:customStyle="1" w:styleId="Heading3Char">
    <w:name w:val="Heading 3 Char"/>
    <w:basedOn w:val="DefaultParagraphFont"/>
    <w:link w:val="Heading3"/>
    <w:rsid w:val="001E0F32"/>
    <w:rPr>
      <w:rFonts w:ascii="Times New Roman" w:eastAsia="Times New Roman" w:hAnsi="Times New Roman" w:cs="Times New Roman"/>
      <w:color w:val="000000"/>
      <w:u w:color="000000"/>
      <w:bdr w:val="nil"/>
      <w:lang w:val="en-US" w:eastAsia="fi-FI"/>
    </w:rPr>
  </w:style>
  <w:style w:type="character" w:customStyle="1" w:styleId="allowtextselection">
    <w:name w:val="allowtextselection"/>
    <w:basedOn w:val="DefaultParagraphFont"/>
    <w:rsid w:val="001E0F32"/>
  </w:style>
  <w:style w:type="paragraph" w:styleId="Bibliography">
    <w:name w:val="Bibliography"/>
    <w:basedOn w:val="Normal"/>
    <w:next w:val="Normal"/>
    <w:uiPriority w:val="37"/>
    <w:unhideWhenUsed/>
    <w:rsid w:val="004A0069"/>
  </w:style>
  <w:style w:type="paragraph" w:styleId="FootnoteText">
    <w:name w:val="footnote text"/>
    <w:basedOn w:val="Normal"/>
    <w:link w:val="FootnoteTextChar"/>
    <w:uiPriority w:val="99"/>
    <w:rsid w:val="009213D3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13D3"/>
    <w:rPr>
      <w:rFonts w:ascii="Times New Roman" w:eastAsia="SimSun" w:hAnsi="Times New Roman" w:cs="Times New Roman"/>
      <w:sz w:val="20"/>
      <w:szCs w:val="20"/>
      <w:lang w:val="x-none" w:eastAsia="zh-CN"/>
    </w:rPr>
  </w:style>
  <w:style w:type="paragraph" w:styleId="ListParagraph">
    <w:name w:val="List Paragraph"/>
    <w:basedOn w:val="Normal"/>
    <w:uiPriority w:val="99"/>
    <w:qFormat/>
    <w:rsid w:val="009213D3"/>
    <w:pPr>
      <w:spacing w:after="200" w:line="276" w:lineRule="auto"/>
      <w:ind w:left="720"/>
      <w:contextualSpacing/>
    </w:pPr>
    <w:rPr>
      <w:rFonts w:cs="Times New Roman"/>
      <w:sz w:val="22"/>
      <w:szCs w:val="28"/>
      <w:lang w:bidi="bn-IN"/>
    </w:rPr>
  </w:style>
  <w:style w:type="character" w:customStyle="1" w:styleId="apple-converted-space">
    <w:name w:val="apple-converted-space"/>
    <w:basedOn w:val="DefaultParagraphFont"/>
    <w:rsid w:val="009213D3"/>
  </w:style>
  <w:style w:type="character" w:styleId="Emphasis">
    <w:name w:val="Emphasis"/>
    <w:uiPriority w:val="20"/>
    <w:qFormat/>
    <w:rsid w:val="009213D3"/>
    <w:rPr>
      <w:i/>
      <w:iCs/>
    </w:rPr>
  </w:style>
  <w:style w:type="table" w:styleId="TableGrid">
    <w:name w:val="Table Grid"/>
    <w:basedOn w:val="TableNormal"/>
    <w:uiPriority w:val="39"/>
    <w:rsid w:val="00730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0D3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B4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115E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15E57"/>
    <w:rPr>
      <w:b/>
      <w:bCs/>
    </w:rPr>
  </w:style>
  <w:style w:type="paragraph" w:customStyle="1" w:styleId="font-claude-response-body">
    <w:name w:val="font-claude-response-body"/>
    <w:basedOn w:val="Normal"/>
    <w:rsid w:val="00115E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katex-mathml">
    <w:name w:val="katex-mathml"/>
    <w:basedOn w:val="DefaultParagraphFont"/>
    <w:rsid w:val="00D340FB"/>
  </w:style>
  <w:style w:type="character" w:customStyle="1" w:styleId="mord">
    <w:name w:val="mord"/>
    <w:basedOn w:val="DefaultParagraphFont"/>
    <w:rsid w:val="00D34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gariatp@gmail.com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athjournal.unram.ac.id/index.php/Griya/index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dkDjGRkKiORHAYjvmXRsyk767g==">AMUW2mXj66h++EEeL0T4pyEEj2RtxSogF4rG25/VYKZwWQkwGNPddoG6EwBDo95YepXLVRhZ+igo+v4SpWlWziGMT0MUpUaJ/lmbke0NRwSSU9tvxjJAY0KdOJENGA8Tiucpuy6mnGzpHLYFxHWVzbsf8Ql7Xk2Anw==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4474</Words>
  <Characters>25505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lenovo yoga</cp:lastModifiedBy>
  <cp:revision>16</cp:revision>
  <dcterms:created xsi:type="dcterms:W3CDTF">2021-06-21T07:53:00Z</dcterms:created>
  <dcterms:modified xsi:type="dcterms:W3CDTF">2025-12-28T02:02:00Z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74dfcd00-b9f3-32ee-8cca-64645aa68379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http://csl.mendeley.com/styles/411175231/iop-454RI</vt:lpwstr>
  </property>
  <property fmtid="{D5CDD505-2E9C-101B-9397-08002B2CF9AE}" pid="16" name="Mendeley Recent Style Name 5_1">
    <vt:lpwstr>IOP AS Ahmar</vt:lpwstr>
  </property>
  <property fmtid="{D5CDD505-2E9C-101B-9397-08002B2CF9AE}" pid="17" name="Mendeley Recent Style Id 6_1">
    <vt:lpwstr>http://www.zotero.org/styles/iop-conference-series-materials-science-and-engineering</vt:lpwstr>
  </property>
  <property fmtid="{D5CDD505-2E9C-101B-9397-08002B2CF9AE}" pid="18" name="Mendeley Recent Style Name 6_1">
    <vt:lpwstr>IOP Conference Series: Materials Science and Engineering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